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BD62" w14:textId="544B6223" w:rsidR="00195E8C" w:rsidRDefault="008E739F">
      <w:r>
        <w:rPr>
          <w:noProof/>
        </w:rPr>
        <w:drawing>
          <wp:inline distT="0" distB="0" distL="0" distR="0" wp14:anchorId="6B00CE20" wp14:editId="18F093AB">
            <wp:extent cx="2057400" cy="904875"/>
            <wp:effectExtent l="0" t="0" r="0" b="9525"/>
            <wp:docPr id="1933876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6357" name=""/>
                    <pic:cNvPicPr/>
                  </pic:nvPicPr>
                  <pic:blipFill>
                    <a:blip r:embed="rId11"/>
                    <a:stretch>
                      <a:fillRect/>
                    </a:stretch>
                  </pic:blipFill>
                  <pic:spPr>
                    <a:xfrm>
                      <a:off x="0" y="0"/>
                      <a:ext cx="2057400" cy="904875"/>
                    </a:xfrm>
                    <a:prstGeom prst="rect">
                      <a:avLst/>
                    </a:prstGeom>
                  </pic:spPr>
                </pic:pic>
              </a:graphicData>
            </a:graphic>
          </wp:inline>
        </w:drawing>
      </w:r>
    </w:p>
    <w:p w14:paraId="743E5870" w14:textId="2831B212" w:rsidR="008E739F" w:rsidRPr="0045510F" w:rsidRDefault="008E739F">
      <w:pPr>
        <w:rPr>
          <w:rFonts w:ascii="Arial" w:hAnsi="Arial" w:cs="Arial"/>
          <w:b/>
          <w:bCs/>
          <w:sz w:val="44"/>
          <w:szCs w:val="44"/>
        </w:rPr>
      </w:pPr>
      <w:commentRangeStart w:id="0"/>
      <w:r w:rsidRPr="0045510F">
        <w:rPr>
          <w:rFonts w:ascii="Arial" w:hAnsi="Arial" w:cs="Arial"/>
          <w:b/>
          <w:bCs/>
          <w:sz w:val="44"/>
          <w:szCs w:val="44"/>
        </w:rPr>
        <w:t xml:space="preserve">TAX STRATEGY </w:t>
      </w:r>
      <w:commentRangeEnd w:id="0"/>
      <w:r w:rsidR="00A520A3" w:rsidRPr="0045510F">
        <w:rPr>
          <w:rStyle w:val="CommentReference"/>
          <w:rFonts w:ascii="Arial" w:hAnsi="Arial" w:cs="Arial"/>
          <w:b/>
          <w:bCs/>
          <w:sz w:val="44"/>
          <w:szCs w:val="44"/>
        </w:rPr>
        <w:commentReference w:id="0"/>
      </w:r>
      <w:r w:rsidR="002E5626" w:rsidRPr="0045510F">
        <w:rPr>
          <w:rFonts w:ascii="Arial" w:hAnsi="Arial" w:cs="Arial"/>
          <w:b/>
          <w:bCs/>
          <w:sz w:val="44"/>
          <w:szCs w:val="44"/>
        </w:rPr>
        <w:br/>
      </w:r>
      <w:r w:rsidRPr="0045510F">
        <w:rPr>
          <w:rFonts w:ascii="Arial" w:hAnsi="Arial" w:cs="Arial"/>
          <w:b/>
          <w:bCs/>
          <w:sz w:val="44"/>
          <w:szCs w:val="44"/>
        </w:rPr>
        <w:t>YEAR END</w:t>
      </w:r>
      <w:r w:rsidR="00D376A7" w:rsidRPr="0045510F">
        <w:rPr>
          <w:rFonts w:ascii="Arial" w:hAnsi="Arial" w:cs="Arial"/>
          <w:b/>
          <w:bCs/>
          <w:sz w:val="44"/>
          <w:szCs w:val="44"/>
        </w:rPr>
        <w:t>ING</w:t>
      </w:r>
      <w:r w:rsidRPr="0045510F">
        <w:rPr>
          <w:rFonts w:ascii="Arial" w:hAnsi="Arial" w:cs="Arial"/>
          <w:b/>
          <w:bCs/>
          <w:sz w:val="44"/>
          <w:szCs w:val="44"/>
        </w:rPr>
        <w:t xml:space="preserve"> 30 APRIL 202</w:t>
      </w:r>
      <w:r w:rsidR="00F74F68">
        <w:rPr>
          <w:rFonts w:ascii="Arial" w:hAnsi="Arial" w:cs="Arial"/>
          <w:b/>
          <w:bCs/>
          <w:sz w:val="44"/>
          <w:szCs w:val="44"/>
        </w:rPr>
        <w:t>6</w:t>
      </w:r>
    </w:p>
    <w:p w14:paraId="513A72EA" w14:textId="77777777" w:rsidR="008E739F" w:rsidRDefault="008E739F"/>
    <w:p w14:paraId="68F3FB8B" w14:textId="6DC82168" w:rsidR="008E739F" w:rsidRPr="0045510F" w:rsidRDefault="008E739F">
      <w:pPr>
        <w:rPr>
          <w:rStyle w:val="Strong"/>
          <w:rFonts w:ascii="Arial" w:hAnsi="Arial" w:cs="Arial"/>
        </w:rPr>
      </w:pPr>
      <w:r w:rsidRPr="0045510F">
        <w:rPr>
          <w:rStyle w:val="Strong"/>
          <w:rFonts w:ascii="Arial" w:hAnsi="Arial" w:cs="Arial"/>
        </w:rPr>
        <w:t>INTRODUCTION</w:t>
      </w:r>
    </w:p>
    <w:p w14:paraId="72BC7858" w14:textId="1589156A" w:rsidR="00850B46" w:rsidRPr="00850B46" w:rsidRDefault="00850B46" w:rsidP="00850B46">
      <w:pPr>
        <w:rPr>
          <w:rFonts w:ascii="Arial" w:hAnsi="Arial" w:cs="Arial"/>
        </w:rPr>
      </w:pPr>
      <w:r w:rsidRPr="00850B46">
        <w:rPr>
          <w:rFonts w:ascii="Arial" w:hAnsi="Arial" w:cs="Arial"/>
        </w:rPr>
        <w:t>This document sets out Amalthea Holdco Limited’s and its UK subsidiaries, including SRL Traffic Systems Limited, (collectively “the Group”) approach to handling its UK tax affairs, for the year ending 30 April 202</w:t>
      </w:r>
      <w:r w:rsidR="00F74F68">
        <w:rPr>
          <w:rFonts w:ascii="Arial" w:hAnsi="Arial" w:cs="Arial"/>
        </w:rPr>
        <w:t>6</w:t>
      </w:r>
      <w:r w:rsidRPr="00850B46">
        <w:rPr>
          <w:rFonts w:ascii="Arial" w:hAnsi="Arial" w:cs="Arial"/>
        </w:rPr>
        <w:t>.</w:t>
      </w:r>
    </w:p>
    <w:p w14:paraId="14A2D272" w14:textId="7EF55D73" w:rsidR="007D5869" w:rsidRPr="0045510F" w:rsidRDefault="00850B46" w:rsidP="002E5626">
      <w:pPr>
        <w:rPr>
          <w:rFonts w:ascii="Arial" w:hAnsi="Arial" w:cs="Arial"/>
        </w:rPr>
      </w:pPr>
      <w:r w:rsidRPr="00850B46">
        <w:rPr>
          <w:rFonts w:ascii="Arial" w:hAnsi="Arial" w:cs="Arial"/>
        </w:rPr>
        <w:t>This document is intended to comply with the Group’s requirements under Part 2 Schedule 19 of the Finance Act 2016 and has been approved by the board of directors of Amalthea Holdco Limited (the “Board”).</w:t>
      </w:r>
    </w:p>
    <w:p w14:paraId="359AF702" w14:textId="3D1C4962" w:rsidR="00A520A3" w:rsidRPr="0045510F" w:rsidRDefault="007D5869" w:rsidP="002E5626">
      <w:pPr>
        <w:rPr>
          <w:rStyle w:val="Strong"/>
          <w:rFonts w:ascii="Arial" w:hAnsi="Arial" w:cs="Arial"/>
        </w:rPr>
      </w:pPr>
      <w:r w:rsidRPr="0045510F">
        <w:rPr>
          <w:rStyle w:val="Strong"/>
          <w:rFonts w:ascii="Arial" w:hAnsi="Arial" w:cs="Arial"/>
        </w:rPr>
        <w:t>TAX STRATEGY</w:t>
      </w:r>
    </w:p>
    <w:p w14:paraId="108FCB65" w14:textId="77777777" w:rsidR="00850B46" w:rsidRPr="00850B46" w:rsidRDefault="00850B46" w:rsidP="00850B46">
      <w:pPr>
        <w:rPr>
          <w:rFonts w:ascii="Arial" w:hAnsi="Arial" w:cs="Arial"/>
        </w:rPr>
      </w:pPr>
      <w:r w:rsidRPr="00850B46">
        <w:rPr>
          <w:rFonts w:ascii="Arial" w:hAnsi="Arial" w:cs="Arial"/>
        </w:rPr>
        <w:t>This Tax Strategy applies to the taxes and duties as set out in paragraph 15(1), Schedule 19, Finance Act 2016. This document sets out the Group’s tax risk management policy, which covers both the internal governance of the Group’s ongoing tax compliance matters as well as its approach to tax risk and tax planning.</w:t>
      </w:r>
    </w:p>
    <w:p w14:paraId="2054296C" w14:textId="066B7216" w:rsidR="00525EFA" w:rsidRPr="0045510F" w:rsidRDefault="00850B46" w:rsidP="00832C1D">
      <w:pPr>
        <w:jc w:val="both"/>
        <w:rPr>
          <w:rFonts w:ascii="Arial" w:hAnsi="Arial" w:cs="Arial"/>
        </w:rPr>
      </w:pPr>
      <w:r w:rsidRPr="00850B46">
        <w:rPr>
          <w:rFonts w:ascii="Arial" w:hAnsi="Arial" w:cs="Arial"/>
        </w:rPr>
        <w:t>The Group’s approach to tax is based on trust and transparency where we are committed to complying with all relevant laws and regulations. We seek to act with integrity in all matters, including compliance with our tax obligations</w:t>
      </w:r>
      <w:r w:rsidR="00525EFA" w:rsidRPr="0045510F">
        <w:rPr>
          <w:rFonts w:ascii="Arial" w:hAnsi="Arial" w:cs="Arial"/>
        </w:rPr>
        <w:t>.</w:t>
      </w:r>
    </w:p>
    <w:p w14:paraId="1C1970F6" w14:textId="77777777" w:rsidR="00BE2520" w:rsidRPr="0045510F" w:rsidRDefault="00BE2520" w:rsidP="007D5869">
      <w:pPr>
        <w:rPr>
          <w:rFonts w:ascii="Times New Roman" w:hAnsi="Times New Roman" w:cs="Times New Roman"/>
        </w:rPr>
      </w:pPr>
    </w:p>
    <w:p w14:paraId="53EF3727" w14:textId="22A392BE" w:rsidR="007D5869" w:rsidRPr="0045510F" w:rsidRDefault="00525EFA" w:rsidP="007D5869">
      <w:pPr>
        <w:rPr>
          <w:rStyle w:val="Strong"/>
          <w:rFonts w:ascii="Arial" w:hAnsi="Arial" w:cs="Arial"/>
        </w:rPr>
      </w:pPr>
      <w:r w:rsidRPr="0045510F">
        <w:rPr>
          <w:rStyle w:val="Strong"/>
          <w:rFonts w:ascii="Arial" w:hAnsi="Arial" w:cs="Arial"/>
        </w:rPr>
        <w:t>OUR APPROACH TO TAX</w:t>
      </w:r>
      <w:r w:rsidR="00C67566">
        <w:rPr>
          <w:rStyle w:val="Strong"/>
          <w:rFonts w:ascii="Arial" w:hAnsi="Arial" w:cs="Arial"/>
        </w:rPr>
        <w:t>ATION AND RELATED GOVERNANCE ARRANGEMENTS</w:t>
      </w:r>
      <w:r w:rsidRPr="0045510F">
        <w:rPr>
          <w:rStyle w:val="Strong"/>
          <w:rFonts w:ascii="Arial" w:hAnsi="Arial" w:cs="Arial"/>
        </w:rPr>
        <w:t xml:space="preserve"> </w:t>
      </w:r>
    </w:p>
    <w:p w14:paraId="297CCD12" w14:textId="77777777" w:rsidR="00850B46" w:rsidRPr="00850B46" w:rsidRDefault="00850B46" w:rsidP="00850B46">
      <w:pPr>
        <w:rPr>
          <w:rFonts w:ascii="Arial" w:hAnsi="Arial" w:cs="Arial"/>
        </w:rPr>
      </w:pPr>
      <w:r w:rsidRPr="00850B46">
        <w:rPr>
          <w:rFonts w:ascii="Arial" w:hAnsi="Arial" w:cs="Arial"/>
        </w:rPr>
        <w:t>The Group believes it has a corporate and social responsibility to pay the right amount of taxes in accordance with all local legislation in the regions in which we operate. We are committed to ensuring we are compliant with all applicable legislation, and being transparent in our tax returns which are submitted to tax authorities. Further, we are committed to timely submission of returns and making timely payments in relation to all taxes and claiming reliefs and incentives where available.</w:t>
      </w:r>
    </w:p>
    <w:p w14:paraId="33D3FFFC" w14:textId="77777777" w:rsidR="00850B46" w:rsidRPr="00850B46" w:rsidRDefault="00850B46" w:rsidP="00850B46">
      <w:pPr>
        <w:rPr>
          <w:rFonts w:ascii="Arial" w:hAnsi="Arial" w:cs="Arial"/>
        </w:rPr>
      </w:pPr>
      <w:r w:rsidRPr="00850B46">
        <w:rPr>
          <w:rFonts w:ascii="Arial" w:hAnsi="Arial" w:cs="Arial"/>
        </w:rPr>
        <w:t>Responsibility for the management of tax, and the implementation of the Group’s tax strategy, has been delegated by the Board to the Chief Financial Officer, along with the day-to-day responsibility for ensuring compliance with our tax obligations and implementing an appropriate tax control framework.</w:t>
      </w:r>
    </w:p>
    <w:p w14:paraId="73D69AE7" w14:textId="0280A731" w:rsidR="00850B46" w:rsidRPr="00850B46" w:rsidRDefault="00850B46" w:rsidP="00850B46">
      <w:pPr>
        <w:rPr>
          <w:rFonts w:ascii="Arial" w:hAnsi="Arial" w:cs="Arial"/>
        </w:rPr>
      </w:pPr>
      <w:r w:rsidRPr="00850B46">
        <w:rPr>
          <w:rFonts w:ascii="Arial" w:hAnsi="Arial" w:cs="Arial"/>
        </w:rPr>
        <w:t>The Group uses a mix of in-house resource and external tax advisors to manage its tax compliance obligations. Where external advisors are used, systems and controls are in place to ensure all relevant information is provided to our advisors and any returns prepared by the advisors are reviewed in-house before they are submitted to HMRC. Where compliance is</w:t>
      </w:r>
    </w:p>
    <w:p w14:paraId="0B018FE6" w14:textId="77777777" w:rsidR="00850B46" w:rsidRPr="00850B46" w:rsidRDefault="00850B46" w:rsidP="00850B46">
      <w:pPr>
        <w:rPr>
          <w:rFonts w:ascii="Arial" w:hAnsi="Arial" w:cs="Arial"/>
        </w:rPr>
      </w:pPr>
      <w:r w:rsidRPr="00850B46">
        <w:rPr>
          <w:rFonts w:ascii="Arial" w:hAnsi="Arial" w:cs="Arial"/>
        </w:rPr>
        <w:lastRenderedPageBreak/>
        <w:t>managed in house, there are appropriate review processes and segregation of duties in place to mitigate the risk of errors occurring.</w:t>
      </w:r>
    </w:p>
    <w:p w14:paraId="370C716C" w14:textId="73445234" w:rsidR="00525EFA" w:rsidRPr="0045510F" w:rsidRDefault="00850B46" w:rsidP="00832C1D">
      <w:pPr>
        <w:jc w:val="both"/>
        <w:rPr>
          <w:rFonts w:ascii="Arial" w:hAnsi="Arial" w:cs="Arial"/>
        </w:rPr>
      </w:pPr>
      <w:r w:rsidRPr="00850B46">
        <w:rPr>
          <w:rFonts w:ascii="Arial" w:hAnsi="Arial" w:cs="Arial"/>
        </w:rPr>
        <w:t>Advice from external advisors is obtained where the appropriate skills and expertise are not available in-house. The Chief Financial Officer also works closely with the Group’s finance team to review the key internal controls in respect of tax</w:t>
      </w:r>
      <w:r w:rsidR="00525EFA" w:rsidRPr="0045510F">
        <w:rPr>
          <w:rFonts w:ascii="Arial" w:hAnsi="Arial" w:cs="Arial"/>
        </w:rPr>
        <w:t xml:space="preserve">. </w:t>
      </w:r>
    </w:p>
    <w:p w14:paraId="2AD38681" w14:textId="77777777" w:rsidR="00A520A3" w:rsidRPr="0045510F" w:rsidRDefault="00A520A3" w:rsidP="002E5626">
      <w:pPr>
        <w:rPr>
          <w:rFonts w:ascii="Arial" w:hAnsi="Arial" w:cs="Arial"/>
        </w:rPr>
      </w:pPr>
    </w:p>
    <w:p w14:paraId="000D4A8E" w14:textId="2A115BDF" w:rsidR="00E33F77" w:rsidRPr="0045510F" w:rsidRDefault="00322C7E" w:rsidP="002E5626">
      <w:pPr>
        <w:rPr>
          <w:rStyle w:val="Strong"/>
          <w:rFonts w:ascii="Arial" w:hAnsi="Arial" w:cs="Arial"/>
        </w:rPr>
      </w:pPr>
      <w:r w:rsidRPr="0045510F">
        <w:rPr>
          <w:rStyle w:val="Strong"/>
          <w:rFonts w:ascii="Arial" w:hAnsi="Arial" w:cs="Arial"/>
        </w:rPr>
        <w:t>TAX PLANNING</w:t>
      </w:r>
      <w:r w:rsidR="00417DE5" w:rsidRPr="0045510F">
        <w:rPr>
          <w:rStyle w:val="Strong"/>
          <w:rFonts w:ascii="Arial" w:hAnsi="Arial" w:cs="Arial"/>
        </w:rPr>
        <w:t xml:space="preserve"> AND </w:t>
      </w:r>
      <w:r w:rsidR="00DA7091">
        <w:rPr>
          <w:rStyle w:val="Strong"/>
          <w:rFonts w:ascii="Arial" w:hAnsi="Arial" w:cs="Arial"/>
        </w:rPr>
        <w:t xml:space="preserve">TAX </w:t>
      </w:r>
      <w:r w:rsidR="00417DE5" w:rsidRPr="0045510F">
        <w:rPr>
          <w:rStyle w:val="Strong"/>
          <w:rFonts w:ascii="Arial" w:hAnsi="Arial" w:cs="Arial"/>
        </w:rPr>
        <w:t>RISK MANGEMENT</w:t>
      </w:r>
    </w:p>
    <w:p w14:paraId="132532D0" w14:textId="77777777" w:rsidR="00850B46" w:rsidRPr="00850B46" w:rsidRDefault="00850B46" w:rsidP="00850B46">
      <w:pPr>
        <w:rPr>
          <w:rFonts w:ascii="Arial" w:hAnsi="Arial" w:cs="Arial"/>
        </w:rPr>
      </w:pPr>
      <w:r w:rsidRPr="00850B46">
        <w:rPr>
          <w:rFonts w:ascii="Arial" w:hAnsi="Arial" w:cs="Arial"/>
        </w:rPr>
        <w:t>Any transactional and structural planning undertaken by the Group is motivated by the Group’s commercial and strategic aims and not with the main or sole objective of obtaining a tax advantage. The Group has a low appetite for tax risk and is not prepared to undertake transactions or arrangement carrying a high degree of uncertainty with regard to tax treatment or tax outcome.</w:t>
      </w:r>
    </w:p>
    <w:p w14:paraId="151B12C8" w14:textId="77777777" w:rsidR="00850B46" w:rsidRPr="00850B46" w:rsidRDefault="00850B46" w:rsidP="00850B46">
      <w:pPr>
        <w:rPr>
          <w:rFonts w:ascii="Arial" w:hAnsi="Arial" w:cs="Arial"/>
        </w:rPr>
      </w:pPr>
      <w:r w:rsidRPr="00850B46">
        <w:rPr>
          <w:rFonts w:ascii="Arial" w:hAnsi="Arial" w:cs="Arial"/>
        </w:rPr>
        <w:t>Tax risk arises from the Group entering into non-routine transactions that have an uncertain tax outcome. As part of our commitment to tax compliance, we aim for certainty on our tax position. As part of our management of tax, we consider all applicable laws, rules, regulations and disclosure requirements, applying diligent professional care and judgement to arrive at well-reasoned conclusions. Where the tax law or published HMRC guidance is unclear, or there is a significant degree of uncertainty as to its interpretation, we engage with professional tax advisors to clarify the correct treatment and, where necessary, engage with tax authorities to gain certainty over the correct tax position.</w:t>
      </w:r>
    </w:p>
    <w:p w14:paraId="4AAC457E" w14:textId="77777777" w:rsidR="00850B46" w:rsidRPr="00850B46" w:rsidRDefault="00850B46" w:rsidP="00850B46">
      <w:pPr>
        <w:rPr>
          <w:rFonts w:ascii="Arial" w:hAnsi="Arial" w:cs="Arial"/>
        </w:rPr>
      </w:pPr>
      <w:r w:rsidRPr="00850B46">
        <w:rPr>
          <w:rFonts w:ascii="Arial" w:hAnsi="Arial" w:cs="Arial"/>
        </w:rPr>
        <w:t>The Group considers the tax consequences of its transactions as a factor in its planning processes and will not engage in any transactions or arrangements where the main objective, or one of the main objectives, is to obtain a tax advantage.</w:t>
      </w:r>
    </w:p>
    <w:p w14:paraId="5D07DE02" w14:textId="6CD1072D" w:rsidR="0051186E" w:rsidRPr="0045510F" w:rsidRDefault="00850B46" w:rsidP="00832C1D">
      <w:pPr>
        <w:jc w:val="both"/>
        <w:rPr>
          <w:rStyle w:val="Strong"/>
          <w:rFonts w:ascii="Arial" w:hAnsi="Arial" w:cs="Arial"/>
        </w:rPr>
      </w:pPr>
      <w:r w:rsidRPr="00850B46">
        <w:rPr>
          <w:rFonts w:ascii="Arial" w:hAnsi="Arial" w:cs="Arial"/>
        </w:rPr>
        <w:t>The Group’s finance team partners with the business to provide clear, timely, relevant and focused advice across all aspects of tax, to identify transactions which present tax risks or uncertain approaches. The commercial objectives of the business will not override compliance with all applicable laws. In addition, tax controls are in place to manage tax risks.</w:t>
      </w:r>
    </w:p>
    <w:p w14:paraId="10619002" w14:textId="77777777" w:rsidR="00E33F77" w:rsidRPr="0045510F" w:rsidRDefault="00E33F77" w:rsidP="002E5626">
      <w:pPr>
        <w:rPr>
          <w:rFonts w:ascii="Arial" w:hAnsi="Arial" w:cs="Arial"/>
        </w:rPr>
      </w:pPr>
    </w:p>
    <w:p w14:paraId="32115503" w14:textId="266C2353" w:rsidR="00E33F77" w:rsidRPr="0045510F" w:rsidRDefault="001D7534" w:rsidP="002E5626">
      <w:pPr>
        <w:rPr>
          <w:rStyle w:val="Strong"/>
          <w:rFonts w:ascii="Arial" w:hAnsi="Arial" w:cs="Arial"/>
        </w:rPr>
      </w:pPr>
      <w:r w:rsidRPr="0045510F">
        <w:rPr>
          <w:rStyle w:val="Strong"/>
          <w:rFonts w:ascii="Arial" w:hAnsi="Arial" w:cs="Arial"/>
        </w:rPr>
        <w:t>APPROACH TO WORKING WITH HMRC</w:t>
      </w:r>
    </w:p>
    <w:p w14:paraId="31DBEF85" w14:textId="77777777" w:rsidR="00850B46" w:rsidRPr="00850B46" w:rsidRDefault="00850B46" w:rsidP="00850B46">
      <w:pPr>
        <w:rPr>
          <w:rFonts w:ascii="Arial" w:hAnsi="Arial" w:cs="Arial"/>
        </w:rPr>
      </w:pPr>
      <w:r w:rsidRPr="00850B46">
        <w:rPr>
          <w:rFonts w:ascii="Arial" w:hAnsi="Arial" w:cs="Arial"/>
        </w:rPr>
        <w:t>The Group’s aim is to have an open and constructive relationship with HMRC. All tax filings and tax payments are made to HMRC on a timely basis to meet statutory deadlines and to reduce the risk of penalties. This is consistent across all taxes and related tax filing obligations.</w:t>
      </w:r>
    </w:p>
    <w:p w14:paraId="5D808640" w14:textId="77777777" w:rsidR="00850B46" w:rsidRPr="00850B46" w:rsidRDefault="00850B46" w:rsidP="00850B46">
      <w:pPr>
        <w:rPr>
          <w:rFonts w:ascii="Arial" w:hAnsi="Arial" w:cs="Arial"/>
        </w:rPr>
      </w:pPr>
      <w:r w:rsidRPr="00850B46">
        <w:rPr>
          <w:rFonts w:ascii="Arial" w:hAnsi="Arial" w:cs="Arial"/>
        </w:rPr>
        <w:t>Accurate and timely disclosures are made in the tax computations and returns to reflect transactions undertaken, and to identify appropriately any positions taken where the tax treatment is uncertain.</w:t>
      </w:r>
    </w:p>
    <w:p w14:paraId="4DB572F6" w14:textId="06949F19" w:rsidR="001D7534" w:rsidRPr="0045510F" w:rsidRDefault="00850B46" w:rsidP="00832C1D">
      <w:pPr>
        <w:jc w:val="both"/>
        <w:rPr>
          <w:rFonts w:ascii="Arial" w:hAnsi="Arial" w:cs="Arial"/>
        </w:rPr>
      </w:pPr>
      <w:r w:rsidRPr="00850B46">
        <w:rPr>
          <w:rFonts w:ascii="Arial" w:hAnsi="Arial" w:cs="Arial"/>
        </w:rPr>
        <w:t>In the event of a disagreement with HMRC, the Group seeks to resolve all such disputes on a timely basis. The Group may also engage external advisors to help resolve the dispute where appropriate</w:t>
      </w:r>
      <w:r w:rsidR="001D7534" w:rsidRPr="0045510F">
        <w:rPr>
          <w:rFonts w:ascii="Arial" w:hAnsi="Arial" w:cs="Arial"/>
        </w:rPr>
        <w:t>.</w:t>
      </w:r>
    </w:p>
    <w:p w14:paraId="3E4A1B96" w14:textId="77777777" w:rsidR="001D7534" w:rsidRDefault="001D7534" w:rsidP="002E5626"/>
    <w:p w14:paraId="546DBEA5" w14:textId="77777777" w:rsidR="008E739F" w:rsidRDefault="008E739F"/>
    <w:sectPr w:rsidR="008E739F">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ia Palkin" w:date="2024-03-27T14:01:00Z" w:initials="KP">
    <w:p w14:paraId="5CE948A4" w14:textId="77777777" w:rsidR="00A520A3" w:rsidRDefault="00A520A3" w:rsidP="00A520A3">
      <w:pPr>
        <w:pStyle w:val="CommentText"/>
      </w:pPr>
      <w:r>
        <w:rPr>
          <w:rStyle w:val="CommentReference"/>
        </w:rPr>
        <w:annotationRef/>
      </w:r>
      <w:r>
        <w:rPr>
          <w:b/>
          <w:bCs/>
          <w:color w:val="0B0C0C"/>
          <w:highlight w:val="white"/>
        </w:rPr>
        <w:t>What must be in your strategy</w:t>
      </w:r>
    </w:p>
    <w:p w14:paraId="7C949C15" w14:textId="77777777" w:rsidR="00A520A3" w:rsidRDefault="00A520A3" w:rsidP="00A520A3">
      <w:pPr>
        <w:pStyle w:val="CommentText"/>
      </w:pPr>
      <w:r>
        <w:rPr>
          <w:color w:val="0B0C0C"/>
          <w:highlight w:val="white"/>
        </w:rPr>
        <w:t>Your tax strategy should be approved by your Board of Directors, be in line with the overall strategy and operation of your business and include:</w:t>
      </w:r>
    </w:p>
    <w:p w14:paraId="6C34D008" w14:textId="77777777" w:rsidR="00A520A3" w:rsidRDefault="00A520A3" w:rsidP="00A520A3">
      <w:pPr>
        <w:pStyle w:val="CommentText"/>
        <w:numPr>
          <w:ilvl w:val="0"/>
          <w:numId w:val="2"/>
        </w:numPr>
      </w:pPr>
      <w:r>
        <w:rPr>
          <w:color w:val="0B0C0C"/>
          <w:highlight w:val="white"/>
        </w:rPr>
        <w:t>details of the paragraph of the legislation it complies with</w:t>
      </w:r>
    </w:p>
    <w:p w14:paraId="411DAD3B" w14:textId="77777777" w:rsidR="00A520A3" w:rsidRDefault="00A520A3" w:rsidP="00A520A3">
      <w:pPr>
        <w:pStyle w:val="CommentText"/>
        <w:numPr>
          <w:ilvl w:val="0"/>
          <w:numId w:val="2"/>
        </w:numPr>
      </w:pPr>
      <w:r>
        <w:rPr>
          <w:color w:val="0B0C0C"/>
          <w:highlight w:val="white"/>
        </w:rPr>
        <w:t>the financial year the strategy relates to</w:t>
      </w:r>
    </w:p>
    <w:p w14:paraId="2A8B80AF" w14:textId="77777777" w:rsidR="00A520A3" w:rsidRDefault="00A520A3" w:rsidP="00A520A3">
      <w:pPr>
        <w:pStyle w:val="CommentText"/>
        <w:numPr>
          <w:ilvl w:val="0"/>
          <w:numId w:val="2"/>
        </w:numPr>
        <w:ind w:left="760"/>
      </w:pPr>
      <w:hyperlink r:id="rId1" w:anchor="how-your-business-manages-uk-tax-risks" w:history="1">
        <w:r w:rsidRPr="00E628DD">
          <w:rPr>
            <w:rStyle w:val="Hyperlink"/>
            <w:highlight w:val="white"/>
          </w:rPr>
          <w:t>how your business manages UK tax risks</w:t>
        </w:r>
      </w:hyperlink>
    </w:p>
    <w:p w14:paraId="44D481A8" w14:textId="77777777" w:rsidR="00A520A3" w:rsidRDefault="00A520A3" w:rsidP="00A520A3">
      <w:pPr>
        <w:pStyle w:val="CommentText"/>
        <w:numPr>
          <w:ilvl w:val="0"/>
          <w:numId w:val="2"/>
        </w:numPr>
        <w:ind w:left="760"/>
      </w:pPr>
      <w:hyperlink r:id="rId2" w:anchor="your-businesss-attitude-to-tax-planning" w:history="1">
        <w:r w:rsidRPr="00E628DD">
          <w:rPr>
            <w:rStyle w:val="Hyperlink"/>
            <w:highlight w:val="white"/>
          </w:rPr>
          <w:t>your business’s attitude to tax planning</w:t>
        </w:r>
      </w:hyperlink>
    </w:p>
    <w:p w14:paraId="277ED9D5" w14:textId="77777777" w:rsidR="00A520A3" w:rsidRDefault="00A520A3" w:rsidP="00A520A3">
      <w:pPr>
        <w:pStyle w:val="CommentText"/>
        <w:numPr>
          <w:ilvl w:val="0"/>
          <w:numId w:val="2"/>
        </w:numPr>
        <w:ind w:left="760"/>
      </w:pPr>
      <w:hyperlink r:id="rId3" w:anchor="the-level-of-risk-your-business-is-prepared-to-accept-for-uk-taxation" w:history="1">
        <w:r w:rsidRPr="00E628DD">
          <w:rPr>
            <w:rStyle w:val="Hyperlink"/>
            <w:highlight w:val="white"/>
          </w:rPr>
          <w:t>the level of risk your business is prepared to accept for UK taxation</w:t>
        </w:r>
      </w:hyperlink>
    </w:p>
    <w:p w14:paraId="48778503" w14:textId="77777777" w:rsidR="00A520A3" w:rsidRDefault="00A520A3" w:rsidP="00A520A3">
      <w:pPr>
        <w:pStyle w:val="CommentText"/>
        <w:numPr>
          <w:ilvl w:val="0"/>
          <w:numId w:val="2"/>
        </w:numPr>
        <w:ind w:left="760"/>
      </w:pPr>
      <w:hyperlink r:id="rId4" w:anchor="how-your-business-works-with-hmrc" w:history="1">
        <w:r w:rsidRPr="00E628DD">
          <w:rPr>
            <w:rStyle w:val="Hyperlink"/>
            <w:highlight w:val="white"/>
          </w:rPr>
          <w:t>how your business works with HMRC</w:t>
        </w:r>
      </w:hyperlink>
    </w:p>
    <w:p w14:paraId="2C36AC9E" w14:textId="77777777" w:rsidR="00A520A3" w:rsidRDefault="00A520A3" w:rsidP="00A520A3">
      <w:pPr>
        <w:pStyle w:val="CommentText"/>
        <w:numPr>
          <w:ilvl w:val="0"/>
          <w:numId w:val="2"/>
        </w:numPr>
      </w:pPr>
      <w:r>
        <w:rPr>
          <w:color w:val="0B0C0C"/>
          <w:highlight w:val="white"/>
        </w:rPr>
        <w:t>any other relevant information relating to taxation</w:t>
      </w:r>
    </w:p>
    <w:p w14:paraId="4888EBC9" w14:textId="77777777" w:rsidR="00A520A3" w:rsidRDefault="00A520A3" w:rsidP="00A520A3">
      <w:pPr>
        <w:pStyle w:val="CommentText"/>
      </w:pPr>
      <w:r>
        <w:rPr>
          <w:color w:val="0B0C0C"/>
          <w:highlight w:val="white"/>
        </w:rPr>
        <w:t>It does not need to include the amounts of taxes and duties paid as part of your tax strategy, or information that might be commercially sensitive.</w:t>
      </w:r>
    </w:p>
    <w:p w14:paraId="47CA5550" w14:textId="77777777" w:rsidR="00A520A3" w:rsidRDefault="00A520A3" w:rsidP="00A520A3">
      <w:pPr>
        <w:pStyle w:val="CommentText"/>
      </w:pPr>
      <w:r>
        <w:rPr>
          <w:b/>
          <w:bCs/>
          <w:color w:val="0B0C0C"/>
          <w:highlight w:val="white"/>
        </w:rPr>
        <w:t>How your business manages UK tax risks</w:t>
      </w:r>
    </w:p>
    <w:p w14:paraId="3837A8FE" w14:textId="77777777" w:rsidR="00A520A3" w:rsidRDefault="00A520A3" w:rsidP="00A520A3">
      <w:pPr>
        <w:pStyle w:val="CommentText"/>
      </w:pPr>
      <w:r>
        <w:rPr>
          <w:color w:val="0B0C0C"/>
          <w:highlight w:val="white"/>
        </w:rPr>
        <w:t>Include all information that demonstrates your business’s approach to risk management and governance. This may include, but is not limited to:</w:t>
      </w:r>
    </w:p>
    <w:p w14:paraId="4A5AE453" w14:textId="77777777" w:rsidR="00A520A3" w:rsidRDefault="00A520A3" w:rsidP="00A520A3">
      <w:pPr>
        <w:pStyle w:val="CommentText"/>
        <w:numPr>
          <w:ilvl w:val="0"/>
          <w:numId w:val="3"/>
        </w:numPr>
      </w:pPr>
      <w:r>
        <w:rPr>
          <w:color w:val="0B0C0C"/>
          <w:highlight w:val="white"/>
        </w:rPr>
        <w:t>how your business identifies and reduces inherent tax risk due to the size, complexity and extent of change in your business</w:t>
      </w:r>
    </w:p>
    <w:p w14:paraId="1BF62C01" w14:textId="77777777" w:rsidR="00A520A3" w:rsidRDefault="00A520A3" w:rsidP="00A520A3">
      <w:pPr>
        <w:pStyle w:val="CommentText"/>
        <w:numPr>
          <w:ilvl w:val="0"/>
          <w:numId w:val="3"/>
        </w:numPr>
      </w:pPr>
      <w:r>
        <w:rPr>
          <w:color w:val="0B0C0C"/>
          <w:highlight w:val="white"/>
        </w:rPr>
        <w:t>the governance framework you use to manage tax risk</w:t>
      </w:r>
    </w:p>
    <w:p w14:paraId="4E02F2C3" w14:textId="77777777" w:rsidR="00A520A3" w:rsidRDefault="00A520A3" w:rsidP="00A520A3">
      <w:pPr>
        <w:pStyle w:val="CommentText"/>
        <w:numPr>
          <w:ilvl w:val="0"/>
          <w:numId w:val="3"/>
        </w:numPr>
      </w:pPr>
      <w:r>
        <w:rPr>
          <w:color w:val="0B0C0C"/>
          <w:highlight w:val="white"/>
        </w:rPr>
        <w:t>the levels of oversight and involvement of the Board of Directors</w:t>
      </w:r>
    </w:p>
    <w:p w14:paraId="6227F8DB" w14:textId="77777777" w:rsidR="00A520A3" w:rsidRDefault="00A520A3" w:rsidP="00A520A3">
      <w:pPr>
        <w:pStyle w:val="CommentText"/>
        <w:numPr>
          <w:ilvl w:val="0"/>
          <w:numId w:val="3"/>
        </w:numPr>
      </w:pPr>
      <w:r>
        <w:rPr>
          <w:color w:val="0B0C0C"/>
          <w:highlight w:val="white"/>
        </w:rPr>
        <w:t>a high level description of any key roles, responsibilities, systems and controls in place to manage tax risk</w:t>
      </w:r>
    </w:p>
    <w:p w14:paraId="3282D77B" w14:textId="77777777" w:rsidR="00A520A3" w:rsidRDefault="00A520A3" w:rsidP="00A520A3">
      <w:pPr>
        <w:pStyle w:val="CommentText"/>
      </w:pPr>
      <w:r>
        <w:rPr>
          <w:b/>
          <w:bCs/>
          <w:color w:val="0B0C0C"/>
          <w:highlight w:val="white"/>
        </w:rPr>
        <w:t>Your business’s attitude to tax planning</w:t>
      </w:r>
    </w:p>
    <w:p w14:paraId="60914F11" w14:textId="77777777" w:rsidR="00A520A3" w:rsidRDefault="00A520A3" w:rsidP="00A520A3">
      <w:pPr>
        <w:pStyle w:val="CommentText"/>
      </w:pPr>
      <w:r>
        <w:rPr>
          <w:color w:val="0B0C0C"/>
          <w:highlight w:val="white"/>
        </w:rPr>
        <w:t>Outline your business’s attitude towards tax planning and give details relating to UK taxation. Also include all information regarding the approach your business has towards to tax planning, including:</w:t>
      </w:r>
    </w:p>
    <w:p w14:paraId="419320A8" w14:textId="77777777" w:rsidR="00A520A3" w:rsidRDefault="00A520A3" w:rsidP="00A520A3">
      <w:pPr>
        <w:pStyle w:val="CommentText"/>
        <w:numPr>
          <w:ilvl w:val="0"/>
          <w:numId w:val="4"/>
        </w:numPr>
      </w:pPr>
      <w:r>
        <w:rPr>
          <w:color w:val="0B0C0C"/>
          <w:highlight w:val="white"/>
        </w:rPr>
        <w:t>details of any code of conduct your business has for tax planning</w:t>
      </w:r>
    </w:p>
    <w:p w14:paraId="4458B2EF" w14:textId="77777777" w:rsidR="00A520A3" w:rsidRDefault="00A520A3" w:rsidP="00A520A3">
      <w:pPr>
        <w:pStyle w:val="CommentText"/>
        <w:numPr>
          <w:ilvl w:val="0"/>
          <w:numId w:val="4"/>
        </w:numPr>
      </w:pPr>
      <w:r>
        <w:rPr>
          <w:color w:val="0B0C0C"/>
          <w:highlight w:val="white"/>
        </w:rPr>
        <w:t>an outline of what influences your business’s tax planning and how this affects your tax strategy</w:t>
      </w:r>
    </w:p>
    <w:p w14:paraId="19D555DD" w14:textId="77777777" w:rsidR="00A520A3" w:rsidRDefault="00A520A3" w:rsidP="00A520A3">
      <w:pPr>
        <w:pStyle w:val="CommentText"/>
        <w:numPr>
          <w:ilvl w:val="0"/>
          <w:numId w:val="4"/>
        </w:numPr>
      </w:pPr>
      <w:r>
        <w:rPr>
          <w:color w:val="0B0C0C"/>
          <w:highlight w:val="white"/>
        </w:rPr>
        <w:t>your approach to structuring tax planning</w:t>
      </w:r>
    </w:p>
    <w:p w14:paraId="284BCD5D" w14:textId="77777777" w:rsidR="00A520A3" w:rsidRDefault="00A520A3" w:rsidP="00A520A3">
      <w:pPr>
        <w:pStyle w:val="CommentText"/>
        <w:numPr>
          <w:ilvl w:val="0"/>
          <w:numId w:val="4"/>
        </w:numPr>
      </w:pPr>
      <w:r>
        <w:rPr>
          <w:color w:val="0B0C0C"/>
          <w:highlight w:val="white"/>
        </w:rPr>
        <w:t>an explanation of why you might seek external tax planning advice</w:t>
      </w:r>
    </w:p>
    <w:p w14:paraId="7F122699" w14:textId="77777777" w:rsidR="00A520A3" w:rsidRDefault="00A520A3" w:rsidP="00A520A3">
      <w:pPr>
        <w:pStyle w:val="CommentText"/>
      </w:pPr>
      <w:r>
        <w:rPr>
          <w:b/>
          <w:bCs/>
          <w:color w:val="0B0C0C"/>
          <w:highlight w:val="white"/>
        </w:rPr>
        <w:t>The level of risk your business is prepared to accept for UK taxation</w:t>
      </w:r>
    </w:p>
    <w:p w14:paraId="765FB629" w14:textId="77777777" w:rsidR="00A520A3" w:rsidRDefault="00A520A3" w:rsidP="00A520A3">
      <w:pPr>
        <w:pStyle w:val="CommentText"/>
      </w:pPr>
      <w:r>
        <w:rPr>
          <w:color w:val="0B0C0C"/>
          <w:highlight w:val="white"/>
        </w:rPr>
        <w:t>Explain:</w:t>
      </w:r>
    </w:p>
    <w:p w14:paraId="50DC4964" w14:textId="77777777" w:rsidR="00A520A3" w:rsidRDefault="00A520A3" w:rsidP="00A520A3">
      <w:pPr>
        <w:pStyle w:val="CommentText"/>
        <w:numPr>
          <w:ilvl w:val="0"/>
          <w:numId w:val="5"/>
        </w:numPr>
      </w:pPr>
      <w:r>
        <w:rPr>
          <w:color w:val="0B0C0C"/>
          <w:highlight w:val="white"/>
        </w:rPr>
        <w:t>what levels of risk your business is prepared to accept, and give details of the internal governance process for measuring this</w:t>
      </w:r>
    </w:p>
    <w:p w14:paraId="2DF85CF8" w14:textId="77777777" w:rsidR="00A520A3" w:rsidRDefault="00A520A3" w:rsidP="00A520A3">
      <w:pPr>
        <w:pStyle w:val="CommentText"/>
        <w:numPr>
          <w:ilvl w:val="0"/>
          <w:numId w:val="5"/>
        </w:numPr>
      </w:pPr>
      <w:r>
        <w:rPr>
          <w:color w:val="0B0C0C"/>
          <w:highlight w:val="white"/>
        </w:rPr>
        <w:t>the influence relevant stakeholders have</w:t>
      </w:r>
    </w:p>
    <w:p w14:paraId="2C134F31" w14:textId="77777777" w:rsidR="00A520A3" w:rsidRDefault="00A520A3" w:rsidP="00A520A3">
      <w:pPr>
        <w:pStyle w:val="CommentText"/>
      </w:pPr>
      <w:r>
        <w:rPr>
          <w:b/>
          <w:bCs/>
          <w:color w:val="0B0C0C"/>
          <w:highlight w:val="white"/>
        </w:rPr>
        <w:t>How your business works with HMRC</w:t>
      </w:r>
    </w:p>
    <w:p w14:paraId="7BD1CE02" w14:textId="77777777" w:rsidR="00A520A3" w:rsidRDefault="00A520A3" w:rsidP="00A520A3">
      <w:pPr>
        <w:pStyle w:val="CommentText"/>
      </w:pPr>
      <w:r>
        <w:rPr>
          <w:color w:val="0B0C0C"/>
          <w:highlight w:val="white"/>
        </w:rPr>
        <w:t>Explain how your business deals with HMRC. We may already know this but it must still be included in the document. It may include (but is not limited to):</w:t>
      </w:r>
    </w:p>
    <w:p w14:paraId="3AD9204F" w14:textId="77777777" w:rsidR="00A520A3" w:rsidRDefault="00A520A3" w:rsidP="00A520A3">
      <w:pPr>
        <w:pStyle w:val="CommentText"/>
        <w:numPr>
          <w:ilvl w:val="0"/>
          <w:numId w:val="6"/>
        </w:numPr>
      </w:pPr>
      <w:r>
        <w:rPr>
          <w:color w:val="0B0C0C"/>
          <w:highlight w:val="white"/>
        </w:rPr>
        <w:t>an explanation of how your business works with HMRC to meet statutory and legislative tax requirements</w:t>
      </w:r>
    </w:p>
    <w:p w14:paraId="0FDBCE52" w14:textId="77777777" w:rsidR="00A520A3" w:rsidRDefault="00A520A3" w:rsidP="00A520A3">
      <w:pPr>
        <w:pStyle w:val="CommentText"/>
        <w:numPr>
          <w:ilvl w:val="0"/>
          <w:numId w:val="6"/>
        </w:numPr>
      </w:pPr>
      <w:r>
        <w:rPr>
          <w:color w:val="0B0C0C"/>
          <w:highlight w:val="white"/>
        </w:rPr>
        <w:t>how your business works to be transparent with HMRC on current, future and past tax risks across all relevant taxes and duties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DBCE5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7631F" w16cex:dateUtc="2024-03-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DBCE52" w16cid:durableId="3C576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3118" w14:textId="77777777" w:rsidR="00DB443D" w:rsidRDefault="00DB443D" w:rsidP="00832C1D">
      <w:pPr>
        <w:spacing w:after="0" w:line="240" w:lineRule="auto"/>
      </w:pPr>
      <w:r>
        <w:separator/>
      </w:r>
    </w:p>
  </w:endnote>
  <w:endnote w:type="continuationSeparator" w:id="0">
    <w:p w14:paraId="68206F3D" w14:textId="77777777" w:rsidR="00DB443D" w:rsidRDefault="00DB443D" w:rsidP="0083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F52C" w14:textId="535CFA80" w:rsidR="00832C1D" w:rsidRDefault="00832C1D">
    <w:pPr>
      <w:pStyle w:val="Footer"/>
    </w:pPr>
    <w:r>
      <w:t>V</w:t>
    </w:r>
    <w:r w:rsidR="00F46881">
      <w:t>2</w:t>
    </w:r>
    <w:r>
      <w:t xml:space="preserve">.0 </w:t>
    </w:r>
  </w:p>
  <w:p w14:paraId="6C06BA07" w14:textId="77777777" w:rsidR="00832C1D" w:rsidRDefault="00832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C3C7" w14:textId="77777777" w:rsidR="00DB443D" w:rsidRDefault="00DB443D" w:rsidP="00832C1D">
      <w:pPr>
        <w:spacing w:after="0" w:line="240" w:lineRule="auto"/>
      </w:pPr>
      <w:r>
        <w:separator/>
      </w:r>
    </w:p>
  </w:footnote>
  <w:footnote w:type="continuationSeparator" w:id="0">
    <w:p w14:paraId="02039BED" w14:textId="77777777" w:rsidR="00DB443D" w:rsidRDefault="00DB443D" w:rsidP="0083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8CD"/>
    <w:multiLevelType w:val="hybridMultilevel"/>
    <w:tmpl w:val="3FB43C16"/>
    <w:lvl w:ilvl="0" w:tplc="8B221D4A">
      <w:start w:val="1"/>
      <w:numFmt w:val="bullet"/>
      <w:lvlText w:val=""/>
      <w:lvlJc w:val="left"/>
      <w:pPr>
        <w:ind w:left="1480" w:hanging="360"/>
      </w:pPr>
      <w:rPr>
        <w:rFonts w:ascii="Symbol" w:hAnsi="Symbol"/>
      </w:rPr>
    </w:lvl>
    <w:lvl w:ilvl="1" w:tplc="E86E46E8">
      <w:start w:val="1"/>
      <w:numFmt w:val="bullet"/>
      <w:lvlText w:val=""/>
      <w:lvlJc w:val="left"/>
      <w:pPr>
        <w:ind w:left="1480" w:hanging="360"/>
      </w:pPr>
      <w:rPr>
        <w:rFonts w:ascii="Symbol" w:hAnsi="Symbol"/>
      </w:rPr>
    </w:lvl>
    <w:lvl w:ilvl="2" w:tplc="C33A18AA">
      <w:start w:val="1"/>
      <w:numFmt w:val="bullet"/>
      <w:lvlText w:val=""/>
      <w:lvlJc w:val="left"/>
      <w:pPr>
        <w:ind w:left="1480" w:hanging="360"/>
      </w:pPr>
      <w:rPr>
        <w:rFonts w:ascii="Symbol" w:hAnsi="Symbol"/>
      </w:rPr>
    </w:lvl>
    <w:lvl w:ilvl="3" w:tplc="9DD68FBC">
      <w:start w:val="1"/>
      <w:numFmt w:val="bullet"/>
      <w:lvlText w:val=""/>
      <w:lvlJc w:val="left"/>
      <w:pPr>
        <w:ind w:left="1480" w:hanging="360"/>
      </w:pPr>
      <w:rPr>
        <w:rFonts w:ascii="Symbol" w:hAnsi="Symbol"/>
      </w:rPr>
    </w:lvl>
    <w:lvl w:ilvl="4" w:tplc="A5AC3424">
      <w:start w:val="1"/>
      <w:numFmt w:val="bullet"/>
      <w:lvlText w:val=""/>
      <w:lvlJc w:val="left"/>
      <w:pPr>
        <w:ind w:left="1480" w:hanging="360"/>
      </w:pPr>
      <w:rPr>
        <w:rFonts w:ascii="Symbol" w:hAnsi="Symbol"/>
      </w:rPr>
    </w:lvl>
    <w:lvl w:ilvl="5" w:tplc="C60A24A0">
      <w:start w:val="1"/>
      <w:numFmt w:val="bullet"/>
      <w:lvlText w:val=""/>
      <w:lvlJc w:val="left"/>
      <w:pPr>
        <w:ind w:left="1480" w:hanging="360"/>
      </w:pPr>
      <w:rPr>
        <w:rFonts w:ascii="Symbol" w:hAnsi="Symbol"/>
      </w:rPr>
    </w:lvl>
    <w:lvl w:ilvl="6" w:tplc="527CCA90">
      <w:start w:val="1"/>
      <w:numFmt w:val="bullet"/>
      <w:lvlText w:val=""/>
      <w:lvlJc w:val="left"/>
      <w:pPr>
        <w:ind w:left="1480" w:hanging="360"/>
      </w:pPr>
      <w:rPr>
        <w:rFonts w:ascii="Symbol" w:hAnsi="Symbol"/>
      </w:rPr>
    </w:lvl>
    <w:lvl w:ilvl="7" w:tplc="9D2ADC8E">
      <w:start w:val="1"/>
      <w:numFmt w:val="bullet"/>
      <w:lvlText w:val=""/>
      <w:lvlJc w:val="left"/>
      <w:pPr>
        <w:ind w:left="1480" w:hanging="360"/>
      </w:pPr>
      <w:rPr>
        <w:rFonts w:ascii="Symbol" w:hAnsi="Symbol"/>
      </w:rPr>
    </w:lvl>
    <w:lvl w:ilvl="8" w:tplc="B284007E">
      <w:start w:val="1"/>
      <w:numFmt w:val="bullet"/>
      <w:lvlText w:val=""/>
      <w:lvlJc w:val="left"/>
      <w:pPr>
        <w:ind w:left="1480" w:hanging="360"/>
      </w:pPr>
      <w:rPr>
        <w:rFonts w:ascii="Symbol" w:hAnsi="Symbol"/>
      </w:rPr>
    </w:lvl>
  </w:abstractNum>
  <w:abstractNum w:abstractNumId="1" w15:restartNumberingAfterBreak="0">
    <w:nsid w:val="19E813FD"/>
    <w:multiLevelType w:val="hybridMultilevel"/>
    <w:tmpl w:val="138C68EE"/>
    <w:lvl w:ilvl="0" w:tplc="EB4ED6E0">
      <w:start w:val="1"/>
      <w:numFmt w:val="bullet"/>
      <w:lvlText w:val=""/>
      <w:lvlJc w:val="left"/>
      <w:pPr>
        <w:ind w:left="1480" w:hanging="360"/>
      </w:pPr>
      <w:rPr>
        <w:rFonts w:ascii="Symbol" w:hAnsi="Symbol"/>
      </w:rPr>
    </w:lvl>
    <w:lvl w:ilvl="1" w:tplc="0EA88484">
      <w:start w:val="1"/>
      <w:numFmt w:val="bullet"/>
      <w:lvlText w:val=""/>
      <w:lvlJc w:val="left"/>
      <w:pPr>
        <w:ind w:left="1480" w:hanging="360"/>
      </w:pPr>
      <w:rPr>
        <w:rFonts w:ascii="Symbol" w:hAnsi="Symbol"/>
      </w:rPr>
    </w:lvl>
    <w:lvl w:ilvl="2" w:tplc="33AA8C24">
      <w:start w:val="1"/>
      <w:numFmt w:val="bullet"/>
      <w:lvlText w:val=""/>
      <w:lvlJc w:val="left"/>
      <w:pPr>
        <w:ind w:left="1480" w:hanging="360"/>
      </w:pPr>
      <w:rPr>
        <w:rFonts w:ascii="Symbol" w:hAnsi="Symbol"/>
      </w:rPr>
    </w:lvl>
    <w:lvl w:ilvl="3" w:tplc="D0388248">
      <w:start w:val="1"/>
      <w:numFmt w:val="bullet"/>
      <w:lvlText w:val=""/>
      <w:lvlJc w:val="left"/>
      <w:pPr>
        <w:ind w:left="1480" w:hanging="360"/>
      </w:pPr>
      <w:rPr>
        <w:rFonts w:ascii="Symbol" w:hAnsi="Symbol"/>
      </w:rPr>
    </w:lvl>
    <w:lvl w:ilvl="4" w:tplc="67C6715C">
      <w:start w:val="1"/>
      <w:numFmt w:val="bullet"/>
      <w:lvlText w:val=""/>
      <w:lvlJc w:val="left"/>
      <w:pPr>
        <w:ind w:left="1480" w:hanging="360"/>
      </w:pPr>
      <w:rPr>
        <w:rFonts w:ascii="Symbol" w:hAnsi="Symbol"/>
      </w:rPr>
    </w:lvl>
    <w:lvl w:ilvl="5" w:tplc="5AEA439C">
      <w:start w:val="1"/>
      <w:numFmt w:val="bullet"/>
      <w:lvlText w:val=""/>
      <w:lvlJc w:val="left"/>
      <w:pPr>
        <w:ind w:left="1480" w:hanging="360"/>
      </w:pPr>
      <w:rPr>
        <w:rFonts w:ascii="Symbol" w:hAnsi="Symbol"/>
      </w:rPr>
    </w:lvl>
    <w:lvl w:ilvl="6" w:tplc="34BA2D7C">
      <w:start w:val="1"/>
      <w:numFmt w:val="bullet"/>
      <w:lvlText w:val=""/>
      <w:lvlJc w:val="left"/>
      <w:pPr>
        <w:ind w:left="1480" w:hanging="360"/>
      </w:pPr>
      <w:rPr>
        <w:rFonts w:ascii="Symbol" w:hAnsi="Symbol"/>
      </w:rPr>
    </w:lvl>
    <w:lvl w:ilvl="7" w:tplc="3DAEAAE4">
      <w:start w:val="1"/>
      <w:numFmt w:val="bullet"/>
      <w:lvlText w:val=""/>
      <w:lvlJc w:val="left"/>
      <w:pPr>
        <w:ind w:left="1480" w:hanging="360"/>
      </w:pPr>
      <w:rPr>
        <w:rFonts w:ascii="Symbol" w:hAnsi="Symbol"/>
      </w:rPr>
    </w:lvl>
    <w:lvl w:ilvl="8" w:tplc="68EC8C2E">
      <w:start w:val="1"/>
      <w:numFmt w:val="bullet"/>
      <w:lvlText w:val=""/>
      <w:lvlJc w:val="left"/>
      <w:pPr>
        <w:ind w:left="1480" w:hanging="360"/>
      </w:pPr>
      <w:rPr>
        <w:rFonts w:ascii="Symbol" w:hAnsi="Symbol"/>
      </w:rPr>
    </w:lvl>
  </w:abstractNum>
  <w:abstractNum w:abstractNumId="2" w15:restartNumberingAfterBreak="0">
    <w:nsid w:val="44D8672D"/>
    <w:multiLevelType w:val="hybridMultilevel"/>
    <w:tmpl w:val="CE4834EA"/>
    <w:lvl w:ilvl="0" w:tplc="50043F52">
      <w:start w:val="1"/>
      <w:numFmt w:val="bullet"/>
      <w:lvlText w:val=""/>
      <w:lvlJc w:val="left"/>
      <w:pPr>
        <w:ind w:left="1480" w:hanging="360"/>
      </w:pPr>
      <w:rPr>
        <w:rFonts w:ascii="Symbol" w:hAnsi="Symbol"/>
      </w:rPr>
    </w:lvl>
    <w:lvl w:ilvl="1" w:tplc="916E9404">
      <w:start w:val="1"/>
      <w:numFmt w:val="bullet"/>
      <w:lvlText w:val=""/>
      <w:lvlJc w:val="left"/>
      <w:pPr>
        <w:ind w:left="1480" w:hanging="360"/>
      </w:pPr>
      <w:rPr>
        <w:rFonts w:ascii="Symbol" w:hAnsi="Symbol"/>
      </w:rPr>
    </w:lvl>
    <w:lvl w:ilvl="2" w:tplc="ED1E151A">
      <w:start w:val="1"/>
      <w:numFmt w:val="bullet"/>
      <w:lvlText w:val=""/>
      <w:lvlJc w:val="left"/>
      <w:pPr>
        <w:ind w:left="1480" w:hanging="360"/>
      </w:pPr>
      <w:rPr>
        <w:rFonts w:ascii="Symbol" w:hAnsi="Symbol"/>
      </w:rPr>
    </w:lvl>
    <w:lvl w:ilvl="3" w:tplc="DF4C09DA">
      <w:start w:val="1"/>
      <w:numFmt w:val="bullet"/>
      <w:lvlText w:val=""/>
      <w:lvlJc w:val="left"/>
      <w:pPr>
        <w:ind w:left="1480" w:hanging="360"/>
      </w:pPr>
      <w:rPr>
        <w:rFonts w:ascii="Symbol" w:hAnsi="Symbol"/>
      </w:rPr>
    </w:lvl>
    <w:lvl w:ilvl="4" w:tplc="6DAE06FC">
      <w:start w:val="1"/>
      <w:numFmt w:val="bullet"/>
      <w:lvlText w:val=""/>
      <w:lvlJc w:val="left"/>
      <w:pPr>
        <w:ind w:left="1480" w:hanging="360"/>
      </w:pPr>
      <w:rPr>
        <w:rFonts w:ascii="Symbol" w:hAnsi="Symbol"/>
      </w:rPr>
    </w:lvl>
    <w:lvl w:ilvl="5" w:tplc="6A4AEEF2">
      <w:start w:val="1"/>
      <w:numFmt w:val="bullet"/>
      <w:lvlText w:val=""/>
      <w:lvlJc w:val="left"/>
      <w:pPr>
        <w:ind w:left="1480" w:hanging="360"/>
      </w:pPr>
      <w:rPr>
        <w:rFonts w:ascii="Symbol" w:hAnsi="Symbol"/>
      </w:rPr>
    </w:lvl>
    <w:lvl w:ilvl="6" w:tplc="5BB48CA0">
      <w:start w:val="1"/>
      <w:numFmt w:val="bullet"/>
      <w:lvlText w:val=""/>
      <w:lvlJc w:val="left"/>
      <w:pPr>
        <w:ind w:left="1480" w:hanging="360"/>
      </w:pPr>
      <w:rPr>
        <w:rFonts w:ascii="Symbol" w:hAnsi="Symbol"/>
      </w:rPr>
    </w:lvl>
    <w:lvl w:ilvl="7" w:tplc="44B0A34C">
      <w:start w:val="1"/>
      <w:numFmt w:val="bullet"/>
      <w:lvlText w:val=""/>
      <w:lvlJc w:val="left"/>
      <w:pPr>
        <w:ind w:left="1480" w:hanging="360"/>
      </w:pPr>
      <w:rPr>
        <w:rFonts w:ascii="Symbol" w:hAnsi="Symbol"/>
      </w:rPr>
    </w:lvl>
    <w:lvl w:ilvl="8" w:tplc="1A7EC014">
      <w:start w:val="1"/>
      <w:numFmt w:val="bullet"/>
      <w:lvlText w:val=""/>
      <w:lvlJc w:val="left"/>
      <w:pPr>
        <w:ind w:left="1480" w:hanging="360"/>
      </w:pPr>
      <w:rPr>
        <w:rFonts w:ascii="Symbol" w:hAnsi="Symbol"/>
      </w:rPr>
    </w:lvl>
  </w:abstractNum>
  <w:abstractNum w:abstractNumId="3" w15:restartNumberingAfterBreak="0">
    <w:nsid w:val="51D81220"/>
    <w:multiLevelType w:val="hybridMultilevel"/>
    <w:tmpl w:val="D2B62A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7F7E0B"/>
    <w:multiLevelType w:val="hybridMultilevel"/>
    <w:tmpl w:val="CEF2AF4C"/>
    <w:lvl w:ilvl="0" w:tplc="4ECC3A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D3845"/>
    <w:multiLevelType w:val="hybridMultilevel"/>
    <w:tmpl w:val="01047016"/>
    <w:lvl w:ilvl="0" w:tplc="7224420E">
      <w:start w:val="1"/>
      <w:numFmt w:val="bullet"/>
      <w:lvlText w:val=""/>
      <w:lvlJc w:val="left"/>
      <w:pPr>
        <w:ind w:left="1480" w:hanging="360"/>
      </w:pPr>
      <w:rPr>
        <w:rFonts w:ascii="Symbol" w:hAnsi="Symbol"/>
      </w:rPr>
    </w:lvl>
    <w:lvl w:ilvl="1" w:tplc="88C0AED4">
      <w:start w:val="1"/>
      <w:numFmt w:val="bullet"/>
      <w:lvlText w:val=""/>
      <w:lvlJc w:val="left"/>
      <w:pPr>
        <w:ind w:left="1480" w:hanging="360"/>
      </w:pPr>
      <w:rPr>
        <w:rFonts w:ascii="Symbol" w:hAnsi="Symbol"/>
      </w:rPr>
    </w:lvl>
    <w:lvl w:ilvl="2" w:tplc="AC1C2E9C">
      <w:start w:val="1"/>
      <w:numFmt w:val="bullet"/>
      <w:lvlText w:val=""/>
      <w:lvlJc w:val="left"/>
      <w:pPr>
        <w:ind w:left="1480" w:hanging="360"/>
      </w:pPr>
      <w:rPr>
        <w:rFonts w:ascii="Symbol" w:hAnsi="Symbol"/>
      </w:rPr>
    </w:lvl>
    <w:lvl w:ilvl="3" w:tplc="841C978A">
      <w:start w:val="1"/>
      <w:numFmt w:val="bullet"/>
      <w:lvlText w:val=""/>
      <w:lvlJc w:val="left"/>
      <w:pPr>
        <w:ind w:left="1480" w:hanging="360"/>
      </w:pPr>
      <w:rPr>
        <w:rFonts w:ascii="Symbol" w:hAnsi="Symbol"/>
      </w:rPr>
    </w:lvl>
    <w:lvl w:ilvl="4" w:tplc="0690270A">
      <w:start w:val="1"/>
      <w:numFmt w:val="bullet"/>
      <w:lvlText w:val=""/>
      <w:lvlJc w:val="left"/>
      <w:pPr>
        <w:ind w:left="1480" w:hanging="360"/>
      </w:pPr>
      <w:rPr>
        <w:rFonts w:ascii="Symbol" w:hAnsi="Symbol"/>
      </w:rPr>
    </w:lvl>
    <w:lvl w:ilvl="5" w:tplc="22149B16">
      <w:start w:val="1"/>
      <w:numFmt w:val="bullet"/>
      <w:lvlText w:val=""/>
      <w:lvlJc w:val="left"/>
      <w:pPr>
        <w:ind w:left="1480" w:hanging="360"/>
      </w:pPr>
      <w:rPr>
        <w:rFonts w:ascii="Symbol" w:hAnsi="Symbol"/>
      </w:rPr>
    </w:lvl>
    <w:lvl w:ilvl="6" w:tplc="4B020EB8">
      <w:start w:val="1"/>
      <w:numFmt w:val="bullet"/>
      <w:lvlText w:val=""/>
      <w:lvlJc w:val="left"/>
      <w:pPr>
        <w:ind w:left="1480" w:hanging="360"/>
      </w:pPr>
      <w:rPr>
        <w:rFonts w:ascii="Symbol" w:hAnsi="Symbol"/>
      </w:rPr>
    </w:lvl>
    <w:lvl w:ilvl="7" w:tplc="29D65796">
      <w:start w:val="1"/>
      <w:numFmt w:val="bullet"/>
      <w:lvlText w:val=""/>
      <w:lvlJc w:val="left"/>
      <w:pPr>
        <w:ind w:left="1480" w:hanging="360"/>
      </w:pPr>
      <w:rPr>
        <w:rFonts w:ascii="Symbol" w:hAnsi="Symbol"/>
      </w:rPr>
    </w:lvl>
    <w:lvl w:ilvl="8" w:tplc="AC443A78">
      <w:start w:val="1"/>
      <w:numFmt w:val="bullet"/>
      <w:lvlText w:val=""/>
      <w:lvlJc w:val="left"/>
      <w:pPr>
        <w:ind w:left="1480" w:hanging="360"/>
      </w:pPr>
      <w:rPr>
        <w:rFonts w:ascii="Symbol" w:hAnsi="Symbol"/>
      </w:rPr>
    </w:lvl>
  </w:abstractNum>
  <w:abstractNum w:abstractNumId="6" w15:restartNumberingAfterBreak="0">
    <w:nsid w:val="7BFC5650"/>
    <w:multiLevelType w:val="hybridMultilevel"/>
    <w:tmpl w:val="F032653E"/>
    <w:lvl w:ilvl="0" w:tplc="8256C3D0">
      <w:start w:val="1"/>
      <w:numFmt w:val="bullet"/>
      <w:lvlText w:val=""/>
      <w:lvlJc w:val="left"/>
      <w:pPr>
        <w:ind w:left="1480" w:hanging="360"/>
      </w:pPr>
      <w:rPr>
        <w:rFonts w:ascii="Symbol" w:hAnsi="Symbol"/>
      </w:rPr>
    </w:lvl>
    <w:lvl w:ilvl="1" w:tplc="77F6B8BE">
      <w:start w:val="1"/>
      <w:numFmt w:val="bullet"/>
      <w:lvlText w:val=""/>
      <w:lvlJc w:val="left"/>
      <w:pPr>
        <w:ind w:left="1480" w:hanging="360"/>
      </w:pPr>
      <w:rPr>
        <w:rFonts w:ascii="Symbol" w:hAnsi="Symbol"/>
      </w:rPr>
    </w:lvl>
    <w:lvl w:ilvl="2" w:tplc="D09EEFCA">
      <w:start w:val="1"/>
      <w:numFmt w:val="bullet"/>
      <w:lvlText w:val=""/>
      <w:lvlJc w:val="left"/>
      <w:pPr>
        <w:ind w:left="1480" w:hanging="360"/>
      </w:pPr>
      <w:rPr>
        <w:rFonts w:ascii="Symbol" w:hAnsi="Symbol"/>
      </w:rPr>
    </w:lvl>
    <w:lvl w:ilvl="3" w:tplc="DE9E0702">
      <w:start w:val="1"/>
      <w:numFmt w:val="bullet"/>
      <w:lvlText w:val=""/>
      <w:lvlJc w:val="left"/>
      <w:pPr>
        <w:ind w:left="1480" w:hanging="360"/>
      </w:pPr>
      <w:rPr>
        <w:rFonts w:ascii="Symbol" w:hAnsi="Symbol"/>
      </w:rPr>
    </w:lvl>
    <w:lvl w:ilvl="4" w:tplc="1980C538">
      <w:start w:val="1"/>
      <w:numFmt w:val="bullet"/>
      <w:lvlText w:val=""/>
      <w:lvlJc w:val="left"/>
      <w:pPr>
        <w:ind w:left="1480" w:hanging="360"/>
      </w:pPr>
      <w:rPr>
        <w:rFonts w:ascii="Symbol" w:hAnsi="Symbol"/>
      </w:rPr>
    </w:lvl>
    <w:lvl w:ilvl="5" w:tplc="A06A8152">
      <w:start w:val="1"/>
      <w:numFmt w:val="bullet"/>
      <w:lvlText w:val=""/>
      <w:lvlJc w:val="left"/>
      <w:pPr>
        <w:ind w:left="1480" w:hanging="360"/>
      </w:pPr>
      <w:rPr>
        <w:rFonts w:ascii="Symbol" w:hAnsi="Symbol"/>
      </w:rPr>
    </w:lvl>
    <w:lvl w:ilvl="6" w:tplc="C6646F26">
      <w:start w:val="1"/>
      <w:numFmt w:val="bullet"/>
      <w:lvlText w:val=""/>
      <w:lvlJc w:val="left"/>
      <w:pPr>
        <w:ind w:left="1480" w:hanging="360"/>
      </w:pPr>
      <w:rPr>
        <w:rFonts w:ascii="Symbol" w:hAnsi="Symbol"/>
      </w:rPr>
    </w:lvl>
    <w:lvl w:ilvl="7" w:tplc="748A3364">
      <w:start w:val="1"/>
      <w:numFmt w:val="bullet"/>
      <w:lvlText w:val=""/>
      <w:lvlJc w:val="left"/>
      <w:pPr>
        <w:ind w:left="1480" w:hanging="360"/>
      </w:pPr>
      <w:rPr>
        <w:rFonts w:ascii="Symbol" w:hAnsi="Symbol"/>
      </w:rPr>
    </w:lvl>
    <w:lvl w:ilvl="8" w:tplc="DDD4B8CA">
      <w:start w:val="1"/>
      <w:numFmt w:val="bullet"/>
      <w:lvlText w:val=""/>
      <w:lvlJc w:val="left"/>
      <w:pPr>
        <w:ind w:left="1480" w:hanging="360"/>
      </w:pPr>
      <w:rPr>
        <w:rFonts w:ascii="Symbol" w:hAnsi="Symbol"/>
      </w:rPr>
    </w:lvl>
  </w:abstractNum>
  <w:num w:numId="1" w16cid:durableId="2100565984">
    <w:abstractNumId w:val="4"/>
  </w:num>
  <w:num w:numId="2" w16cid:durableId="700477131">
    <w:abstractNumId w:val="1"/>
  </w:num>
  <w:num w:numId="3" w16cid:durableId="1162966471">
    <w:abstractNumId w:val="5"/>
  </w:num>
  <w:num w:numId="4" w16cid:durableId="1231887836">
    <w:abstractNumId w:val="6"/>
  </w:num>
  <w:num w:numId="5" w16cid:durableId="454715634">
    <w:abstractNumId w:val="0"/>
  </w:num>
  <w:num w:numId="6" w16cid:durableId="534199286">
    <w:abstractNumId w:val="2"/>
  </w:num>
  <w:num w:numId="7" w16cid:durableId="4553672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ia Palkin">
    <w15:presenceInfo w15:providerId="AD" w15:userId="S::Kasia.Palkin@srl.co.uk::8878e8d0-b2ea-410f-a04e-51aaa0e28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36"/>
    <w:rsid w:val="00005AB2"/>
    <w:rsid w:val="0005221E"/>
    <w:rsid w:val="00101969"/>
    <w:rsid w:val="00151191"/>
    <w:rsid w:val="001902DE"/>
    <w:rsid w:val="00195E8C"/>
    <w:rsid w:val="001A1860"/>
    <w:rsid w:val="001D7534"/>
    <w:rsid w:val="00233968"/>
    <w:rsid w:val="002D75CA"/>
    <w:rsid w:val="002E0FF5"/>
    <w:rsid w:val="002E5626"/>
    <w:rsid w:val="003029D5"/>
    <w:rsid w:val="00311519"/>
    <w:rsid w:val="00322C7E"/>
    <w:rsid w:val="00336095"/>
    <w:rsid w:val="003C20C5"/>
    <w:rsid w:val="00417DE5"/>
    <w:rsid w:val="00423BE3"/>
    <w:rsid w:val="0045510F"/>
    <w:rsid w:val="0051186E"/>
    <w:rsid w:val="00525EFA"/>
    <w:rsid w:val="00561CE4"/>
    <w:rsid w:val="00564E99"/>
    <w:rsid w:val="00580033"/>
    <w:rsid w:val="00585CCD"/>
    <w:rsid w:val="00590936"/>
    <w:rsid w:val="005A3338"/>
    <w:rsid w:val="005A48C7"/>
    <w:rsid w:val="005D0314"/>
    <w:rsid w:val="005E3985"/>
    <w:rsid w:val="006251B6"/>
    <w:rsid w:val="00650A69"/>
    <w:rsid w:val="00692CB9"/>
    <w:rsid w:val="00706295"/>
    <w:rsid w:val="007D5869"/>
    <w:rsid w:val="007E16F2"/>
    <w:rsid w:val="00816D3B"/>
    <w:rsid w:val="00832C1D"/>
    <w:rsid w:val="00850B46"/>
    <w:rsid w:val="008E739F"/>
    <w:rsid w:val="00912535"/>
    <w:rsid w:val="00943CD8"/>
    <w:rsid w:val="009D2DE6"/>
    <w:rsid w:val="00A301A9"/>
    <w:rsid w:val="00A520A3"/>
    <w:rsid w:val="00A56888"/>
    <w:rsid w:val="00B32750"/>
    <w:rsid w:val="00BE2520"/>
    <w:rsid w:val="00C67566"/>
    <w:rsid w:val="00CA55D7"/>
    <w:rsid w:val="00CE4CE0"/>
    <w:rsid w:val="00D376A7"/>
    <w:rsid w:val="00DA579A"/>
    <w:rsid w:val="00DA7091"/>
    <w:rsid w:val="00DB443D"/>
    <w:rsid w:val="00E04DAD"/>
    <w:rsid w:val="00E33F77"/>
    <w:rsid w:val="00E33FEB"/>
    <w:rsid w:val="00E355AF"/>
    <w:rsid w:val="00E368F6"/>
    <w:rsid w:val="00E82D58"/>
    <w:rsid w:val="00E93A61"/>
    <w:rsid w:val="00EA4415"/>
    <w:rsid w:val="00EB682F"/>
    <w:rsid w:val="00EE24C0"/>
    <w:rsid w:val="00F46881"/>
    <w:rsid w:val="00F64845"/>
    <w:rsid w:val="00F74F68"/>
    <w:rsid w:val="00F869DD"/>
    <w:rsid w:val="00FF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15BD"/>
  <w15:chartTrackingRefBased/>
  <w15:docId w15:val="{9A435A84-6734-48C1-A1F6-D090C6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936"/>
    <w:rPr>
      <w:rFonts w:eastAsiaTheme="majorEastAsia" w:cstheme="majorBidi"/>
      <w:color w:val="272727" w:themeColor="text1" w:themeTint="D8"/>
    </w:rPr>
  </w:style>
  <w:style w:type="paragraph" w:styleId="Title">
    <w:name w:val="Title"/>
    <w:basedOn w:val="Normal"/>
    <w:next w:val="Normal"/>
    <w:link w:val="TitleChar"/>
    <w:uiPriority w:val="10"/>
    <w:qFormat/>
    <w:rsid w:val="00590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936"/>
    <w:pPr>
      <w:spacing w:before="160"/>
      <w:jc w:val="center"/>
    </w:pPr>
    <w:rPr>
      <w:i/>
      <w:iCs/>
      <w:color w:val="404040" w:themeColor="text1" w:themeTint="BF"/>
    </w:rPr>
  </w:style>
  <w:style w:type="character" w:customStyle="1" w:styleId="QuoteChar">
    <w:name w:val="Quote Char"/>
    <w:basedOn w:val="DefaultParagraphFont"/>
    <w:link w:val="Quote"/>
    <w:uiPriority w:val="29"/>
    <w:rsid w:val="00590936"/>
    <w:rPr>
      <w:i/>
      <w:iCs/>
      <w:color w:val="404040" w:themeColor="text1" w:themeTint="BF"/>
    </w:rPr>
  </w:style>
  <w:style w:type="paragraph" w:styleId="ListParagraph">
    <w:name w:val="List Paragraph"/>
    <w:basedOn w:val="Normal"/>
    <w:uiPriority w:val="34"/>
    <w:qFormat/>
    <w:rsid w:val="00590936"/>
    <w:pPr>
      <w:ind w:left="720"/>
      <w:contextualSpacing/>
    </w:pPr>
  </w:style>
  <w:style w:type="character" w:styleId="IntenseEmphasis">
    <w:name w:val="Intense Emphasis"/>
    <w:basedOn w:val="DefaultParagraphFont"/>
    <w:uiPriority w:val="21"/>
    <w:qFormat/>
    <w:rsid w:val="00590936"/>
    <w:rPr>
      <w:i/>
      <w:iCs/>
      <w:color w:val="0F4761" w:themeColor="accent1" w:themeShade="BF"/>
    </w:rPr>
  </w:style>
  <w:style w:type="paragraph" w:styleId="IntenseQuote">
    <w:name w:val="Intense Quote"/>
    <w:basedOn w:val="Normal"/>
    <w:next w:val="Normal"/>
    <w:link w:val="IntenseQuoteChar"/>
    <w:uiPriority w:val="30"/>
    <w:qFormat/>
    <w:rsid w:val="00590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936"/>
    <w:rPr>
      <w:i/>
      <w:iCs/>
      <w:color w:val="0F4761" w:themeColor="accent1" w:themeShade="BF"/>
    </w:rPr>
  </w:style>
  <w:style w:type="character" w:styleId="IntenseReference">
    <w:name w:val="Intense Reference"/>
    <w:basedOn w:val="DefaultParagraphFont"/>
    <w:uiPriority w:val="32"/>
    <w:qFormat/>
    <w:rsid w:val="00590936"/>
    <w:rPr>
      <w:b/>
      <w:bCs/>
      <w:smallCaps/>
      <w:color w:val="0F4761" w:themeColor="accent1" w:themeShade="BF"/>
      <w:spacing w:val="5"/>
    </w:rPr>
  </w:style>
  <w:style w:type="character" w:styleId="CommentReference">
    <w:name w:val="annotation reference"/>
    <w:basedOn w:val="DefaultParagraphFont"/>
    <w:uiPriority w:val="99"/>
    <w:semiHidden/>
    <w:unhideWhenUsed/>
    <w:rsid w:val="00A520A3"/>
    <w:rPr>
      <w:sz w:val="16"/>
      <w:szCs w:val="16"/>
    </w:rPr>
  </w:style>
  <w:style w:type="paragraph" w:styleId="CommentText">
    <w:name w:val="annotation text"/>
    <w:basedOn w:val="Normal"/>
    <w:link w:val="CommentTextChar"/>
    <w:uiPriority w:val="99"/>
    <w:unhideWhenUsed/>
    <w:rsid w:val="00A520A3"/>
    <w:pPr>
      <w:spacing w:line="240" w:lineRule="auto"/>
    </w:pPr>
    <w:rPr>
      <w:sz w:val="20"/>
      <w:szCs w:val="20"/>
    </w:rPr>
  </w:style>
  <w:style w:type="character" w:customStyle="1" w:styleId="CommentTextChar">
    <w:name w:val="Comment Text Char"/>
    <w:basedOn w:val="DefaultParagraphFont"/>
    <w:link w:val="CommentText"/>
    <w:uiPriority w:val="99"/>
    <w:rsid w:val="00A520A3"/>
    <w:rPr>
      <w:sz w:val="20"/>
      <w:szCs w:val="20"/>
    </w:rPr>
  </w:style>
  <w:style w:type="paragraph" w:styleId="CommentSubject">
    <w:name w:val="annotation subject"/>
    <w:basedOn w:val="CommentText"/>
    <w:next w:val="CommentText"/>
    <w:link w:val="CommentSubjectChar"/>
    <w:uiPriority w:val="99"/>
    <w:semiHidden/>
    <w:unhideWhenUsed/>
    <w:rsid w:val="00A520A3"/>
    <w:rPr>
      <w:b/>
      <w:bCs/>
    </w:rPr>
  </w:style>
  <w:style w:type="character" w:customStyle="1" w:styleId="CommentSubjectChar">
    <w:name w:val="Comment Subject Char"/>
    <w:basedOn w:val="CommentTextChar"/>
    <w:link w:val="CommentSubject"/>
    <w:uiPriority w:val="99"/>
    <w:semiHidden/>
    <w:rsid w:val="00A520A3"/>
    <w:rPr>
      <w:b/>
      <w:bCs/>
      <w:sz w:val="20"/>
      <w:szCs w:val="20"/>
    </w:rPr>
  </w:style>
  <w:style w:type="character" w:styleId="Hyperlink">
    <w:name w:val="Hyperlink"/>
    <w:basedOn w:val="DefaultParagraphFont"/>
    <w:uiPriority w:val="99"/>
    <w:unhideWhenUsed/>
    <w:rsid w:val="00A520A3"/>
    <w:rPr>
      <w:color w:val="467886" w:themeColor="hyperlink"/>
      <w:u w:val="single"/>
    </w:rPr>
  </w:style>
  <w:style w:type="character" w:styleId="UnresolvedMention">
    <w:name w:val="Unresolved Mention"/>
    <w:basedOn w:val="DefaultParagraphFont"/>
    <w:uiPriority w:val="99"/>
    <w:semiHidden/>
    <w:unhideWhenUsed/>
    <w:rsid w:val="00A520A3"/>
    <w:rPr>
      <w:color w:val="605E5C"/>
      <w:shd w:val="clear" w:color="auto" w:fill="E1DFDD"/>
    </w:rPr>
  </w:style>
  <w:style w:type="character" w:styleId="Strong">
    <w:name w:val="Strong"/>
    <w:basedOn w:val="DefaultParagraphFont"/>
    <w:uiPriority w:val="22"/>
    <w:qFormat/>
    <w:rsid w:val="00E04DAD"/>
    <w:rPr>
      <w:b/>
      <w:bCs/>
    </w:rPr>
  </w:style>
  <w:style w:type="paragraph" w:styleId="Revision">
    <w:name w:val="Revision"/>
    <w:hidden/>
    <w:uiPriority w:val="99"/>
    <w:semiHidden/>
    <w:rsid w:val="00A56888"/>
    <w:pPr>
      <w:spacing w:after="0" w:line="240" w:lineRule="auto"/>
    </w:pPr>
  </w:style>
  <w:style w:type="paragraph" w:styleId="Header">
    <w:name w:val="header"/>
    <w:basedOn w:val="Normal"/>
    <w:link w:val="HeaderChar"/>
    <w:uiPriority w:val="99"/>
    <w:unhideWhenUsed/>
    <w:rsid w:val="00832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C1D"/>
  </w:style>
  <w:style w:type="paragraph" w:styleId="Footer">
    <w:name w:val="footer"/>
    <w:basedOn w:val="Normal"/>
    <w:link w:val="FooterChar"/>
    <w:uiPriority w:val="99"/>
    <w:unhideWhenUsed/>
    <w:rsid w:val="00832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ov.uk/guidance/large-businesses-publish-your-tax-strategy" TargetMode="External"/><Relationship Id="rId2" Type="http://schemas.openxmlformats.org/officeDocument/2006/relationships/hyperlink" Target="https://www.gov.uk/guidance/large-businesses-publish-your-tax-strategy" TargetMode="External"/><Relationship Id="rId1" Type="http://schemas.openxmlformats.org/officeDocument/2006/relationships/hyperlink" Target="https://www.gov.uk/guidance/large-businesses-publish-your-tax-strategy" TargetMode="External"/><Relationship Id="rId4" Type="http://schemas.openxmlformats.org/officeDocument/2006/relationships/hyperlink" Target="https://www.gov.uk/guidance/large-businesses-publish-your-tax-strateg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xation Document" ma:contentTypeID="0x010100BE7732C71DFF5C429B290AA391ADB41100B3F17FA08E689A4598E30570E100CB43" ma:contentTypeVersion="48" ma:contentTypeDescription="Group Reporting Content Type for the Corporate Assets Infrastructure Carry &amp; Co-Invest UK Compliance Departmental Admin Employee Matters International Private Equity Projects Technical Reference VAT Compliance[i] function" ma:contentTypeScope="" ma:versionID="831cf922963a1ff5ac6dcec6ea71ba97">
  <xsd:schema xmlns:xsd="http://www.w3.org/2001/XMLSchema" xmlns:xs="http://www.w3.org/2001/XMLSchema" xmlns:p="http://schemas.microsoft.com/office/2006/metadata/properties" xmlns:ns1="http://schemas.microsoft.com/sharepoint/v3" xmlns:ns2="cdec520e-ad3e-41ef-9e7f-e3efcc715ced" xmlns:ns3="b02309ee-1be0-4dde-9f87-82de285493e2" targetNamespace="http://schemas.microsoft.com/office/2006/metadata/properties" ma:root="true" ma:fieldsID="6d0bc4d9fa01f7c3bc7c4a0210bc2427" ns1:_="" ns2:_="" ns3:_="">
    <xsd:import namespace="http://schemas.microsoft.com/sharepoint/v3"/>
    <xsd:import namespace="cdec520e-ad3e-41ef-9e7f-e3efcc715ced"/>
    <xsd:import namespace="b02309ee-1be0-4dde-9f87-82de285493e2"/>
    <xsd:element name="properties">
      <xsd:complexType>
        <xsd:sequence>
          <xsd:element name="documentManagement">
            <xsd:complexType>
              <xsd:all>
                <xsd:element ref="ns2:FINMTFV" minOccurs="0"/>
                <xsd:element ref="ns2:FinSystem1" minOccurs="0"/>
                <xsd:element ref="ns2:FinSystemDate1" minOccurs="0"/>
                <xsd:element ref="ns1:FileDirRef" minOccurs="0"/>
                <xsd:element ref="ns2:FinFolderAuto" minOccurs="0"/>
                <xsd:element ref="ns2:FinSystem2" minOccurs="0"/>
                <xsd:element ref="ns2:FinDocumentTypeAuto" minOccurs="0"/>
                <xsd:element ref="ns2:FinFinancialYearAuto" minOccurs="0"/>
                <xsd:element ref="ns2:FinFinancialPeriodAuto" minOccurs="0"/>
                <xsd:element ref="ns2:FinFinancialHalfYearAuto" minOccurs="0"/>
                <xsd:element ref="ns2:FinFinancialQuarterAuto" minOccurs="0"/>
                <xsd:element ref="ns2:FinFinancialMonthAuto" minOccurs="0"/>
                <xsd:element ref="ns2:FinEntityParentAuto" minOccurs="0"/>
                <xsd:element ref="ns2:FinEntityAuto" minOccurs="0"/>
                <xsd:element ref="ns2:FinEntityTypeAuto" minOccurs="0"/>
                <xsd:element ref="ns2:FinCompanyAuto" minOccurs="0"/>
                <xsd:element ref="ns2:k41d2ed85480493ca7e144c0a7bc49d8" minOccurs="0"/>
                <xsd:element ref="ns2:TaxCatchAll" minOccurs="0"/>
                <xsd:element ref="ns2:TaxCatchAllLabel" minOccurs="0"/>
                <xsd:element ref="ns2:ib4f18b89d8f447b9c6ee257b040ae19" minOccurs="0"/>
                <xsd:element ref="ns2:j8a49c1d3bd347868b42a595eea368e5" minOccurs="0"/>
                <xsd:element ref="ns2:bc97afe3ef974dafb12745fb836ef226" minOccurs="0"/>
                <xsd:element ref="ns2:FinBusinessLineAuto" minOccurs="0"/>
                <xsd:element ref="ns2:FinVintageAuto" minOccurs="0"/>
                <xsd:element ref="ns2:FinEntityGuid" minOccurs="0"/>
                <xsd:element ref="ns2:FinCompanyGuid" minOccurs="0"/>
                <xsd:element ref="ns2:FinSystem3" minOccurs="0"/>
                <xsd:element ref="ns2:FinSystem4" minOccurs="0"/>
                <xsd:element ref="ns2:FinSystem5" minOccurs="0"/>
                <xsd:element ref="ns2:FinSystemDate2" minOccurs="0"/>
                <xsd:element ref="ns2:FinSystemDate3" minOccurs="0"/>
                <xsd:element ref="ns2:FinDuplicateSuffix" minOccurs="0"/>
                <xsd:element ref="ns2:FinProvenance" minOccurs="0"/>
                <xsd:element ref="ns2:FinErrorLog" minOccurs="0"/>
                <xsd:element ref="ns2:FinJurisdiction" minOccurs="0"/>
                <xsd:element ref="ns2:FinComplianceType" minOccurs="0"/>
                <xsd:element ref="ns2:FinRegionAuto" minOccurs="0"/>
                <xsd:element ref="ns2:FinJurisdictionAuto" minOccurs="0"/>
                <xsd:element ref="ns2:FinComplianceTypeAuto" minOccurs="0"/>
                <xsd:element ref="ns2:FinRegion"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DirRef" ma:index="13" nillable="true" ma:displayName="Path" ma:list="Docs" ma:internalName="FileDirRef" ma:readOnly="false" ma:showField="Dir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ec520e-ad3e-41ef-9e7f-e3efcc715ced" elementFormDefault="qualified">
    <xsd:import namespace="http://schemas.microsoft.com/office/2006/documentManagement/types"/>
    <xsd:import namespace="http://schemas.microsoft.com/office/infopath/2007/PartnerControls"/>
    <xsd:element name="FINMTFV" ma:index="10" nillable="true" ma:displayName="Status" ma:internalName="FINMTFV">
      <xsd:simpleType>
        <xsd:restriction base="dms:Text"/>
      </xsd:simpleType>
    </xsd:element>
    <xsd:element name="FinSystem1" ma:index="11" nillable="true" ma:displayName="System1" ma:internalName="FinSystem1">
      <xsd:simpleType>
        <xsd:restriction base="dms:Note"/>
      </xsd:simpleType>
    </xsd:element>
    <xsd:element name="FinSystemDate1" ma:index="12" nillable="true" ma:displayName="FinSystemDate1" ma:internalName="FinSystemDate1">
      <xsd:simpleType>
        <xsd:restriction base="dms:DateTime"/>
      </xsd:simpleType>
    </xsd:element>
    <xsd:element name="FinFolderAuto" ma:index="14" nillable="true" ma:displayName="Folder*" ma:internalName="FinFolderAuto">
      <xsd:simpleType>
        <xsd:restriction base="dms:Text"/>
      </xsd:simpleType>
    </xsd:element>
    <xsd:element name="FinSystem2" ma:index="15" nillable="true" ma:displayName="System2" ma:internalName="FinSystem2">
      <xsd:simpleType>
        <xsd:restriction base="dms:Note"/>
      </xsd:simpleType>
    </xsd:element>
    <xsd:element name="FinDocumentTypeAuto" ma:index="16" nillable="true" ma:displayName="Document Type*" ma:internalName="FinDocumentTypeAuto">
      <xsd:simpleType>
        <xsd:restriction base="dms:Text"/>
      </xsd:simpleType>
    </xsd:element>
    <xsd:element name="FinFinancialYearAuto" ma:index="17" nillable="true" ma:displayName="Financial Year*" ma:internalName="FinFinancialYearAuto">
      <xsd:simpleType>
        <xsd:restriction base="dms:Text"/>
      </xsd:simpleType>
    </xsd:element>
    <xsd:element name="FinFinancialPeriodAuto" ma:index="18" nillable="true" ma:displayName="Financial Period*" ma:internalName="FinFinancialPeriodAuto">
      <xsd:simpleType>
        <xsd:restriction base="dms:Text"/>
      </xsd:simpleType>
    </xsd:element>
    <xsd:element name="FinFinancialHalfYearAuto" ma:index="19" nillable="true" ma:displayName="Financial Half Year*" ma:internalName="FinFinancialHalfYearAuto">
      <xsd:simpleType>
        <xsd:restriction base="dms:Text"/>
      </xsd:simpleType>
    </xsd:element>
    <xsd:element name="FinFinancialQuarterAuto" ma:index="20" nillable="true" ma:displayName="Financial Quarter*" ma:internalName="FinFinancialQuarterAuto">
      <xsd:simpleType>
        <xsd:restriction base="dms:Text"/>
      </xsd:simpleType>
    </xsd:element>
    <xsd:element name="FinFinancialMonthAuto" ma:index="21" nillable="true" ma:displayName="Financial Month*" ma:internalName="FinFinancialMonthAuto">
      <xsd:simpleType>
        <xsd:restriction base="dms:Text"/>
      </xsd:simpleType>
    </xsd:element>
    <xsd:element name="FinEntityParentAuto" ma:index="22" nillable="true" ma:displayName="EntityParent*" ma:internalName="FinEntityParentAuto">
      <xsd:simpleType>
        <xsd:restriction base="dms:Text"/>
      </xsd:simpleType>
    </xsd:element>
    <xsd:element name="FinEntityAuto" ma:index="23" nillable="true" ma:displayName="Entity*" ma:internalName="FinEntityAuto">
      <xsd:simpleType>
        <xsd:restriction base="dms:Text"/>
      </xsd:simpleType>
    </xsd:element>
    <xsd:element name="FinEntityTypeAuto" ma:index="24" nillable="true" ma:displayName="Entity Type*" ma:internalName="FinEntityTypeAuto">
      <xsd:simpleType>
        <xsd:restriction base="dms:Text"/>
      </xsd:simpleType>
    </xsd:element>
    <xsd:element name="FinCompanyAuto" ma:index="25" nillable="true" ma:displayName="Company*" ma:internalName="FinCompanyAuto">
      <xsd:simpleType>
        <xsd:restriction base="dms:Text"/>
      </xsd:simpleType>
    </xsd:element>
    <xsd:element name="k41d2ed85480493ca7e144c0a7bc49d8" ma:index="26" nillable="true" ma:taxonomy="true" ma:internalName="k41d2ed85480493ca7e144c0a7bc49d8" ma:taxonomyFieldName="FinEntityMMF" ma:displayName="Entity" ma:fieldId="{441d2ed8-5480-493c-a7e1-44c0a7bc49d8}" ma:sspId="2ea59c1a-6824-46e1-9abd-682959e453ea" ma:termSetId="b506ca7d-3c28-4acb-a919-969d7f4d2859"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d35cde3-ecae-4ed1-9935-e4af1ec71851}" ma:internalName="TaxCatchAll" ma:showField="CatchAllData" ma:web="cdec520e-ad3e-41ef-9e7f-e3efcc715ced">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dd35cde3-ecae-4ed1-9935-e4af1ec71851}" ma:internalName="TaxCatchAllLabel" ma:readOnly="true" ma:showField="CatchAllDataLabel" ma:web="cdec520e-ad3e-41ef-9e7f-e3efcc715ced">
      <xsd:complexType>
        <xsd:complexContent>
          <xsd:extension base="dms:MultiChoiceLookup">
            <xsd:sequence>
              <xsd:element name="Value" type="dms:Lookup" maxOccurs="unbounded" minOccurs="0" nillable="true"/>
            </xsd:sequence>
          </xsd:extension>
        </xsd:complexContent>
      </xsd:complexType>
    </xsd:element>
    <xsd:element name="ib4f18b89d8f447b9c6ee257b040ae19" ma:index="30" nillable="true" ma:taxonomy="true" ma:internalName="ib4f18b89d8f447b9c6ee257b040ae19" ma:taxonomyFieldName="FinCompanyMMF" ma:displayName="Company" ma:fieldId="{2b4f18b8-9d8f-447b-9c6e-e257b040ae19}" ma:sspId="2ea59c1a-6824-46e1-9abd-682959e453ea" ma:termSetId="1008054b-0091-42b7-b9a1-604d0e6dd2cb" ma:anchorId="00000000-0000-0000-0000-000000000000" ma:open="false" ma:isKeyword="false">
      <xsd:complexType>
        <xsd:sequence>
          <xsd:element ref="pc:Terms" minOccurs="0" maxOccurs="1"/>
        </xsd:sequence>
      </xsd:complexType>
    </xsd:element>
    <xsd:element name="j8a49c1d3bd347868b42a595eea368e5" ma:index="32" nillable="true" ma:taxonomy="true" ma:internalName="j8a49c1d3bd347868b42a595eea368e5" ma:taxonomyFieldName="FinFinancialYearMMF" ma:displayName="Financial Year" ma:fieldId="{38a49c1d-3bd3-4786-8b42-a595eea368e5}" ma:sspId="2ea59c1a-6824-46e1-9abd-682959e453ea" ma:termSetId="2c1feaa0-5235-4168-affe-a2bcf251bf77" ma:anchorId="00000000-0000-0000-0000-000000000000" ma:open="false" ma:isKeyword="false">
      <xsd:complexType>
        <xsd:sequence>
          <xsd:element ref="pc:Terms" minOccurs="0" maxOccurs="1"/>
        </xsd:sequence>
      </xsd:complexType>
    </xsd:element>
    <xsd:element name="bc97afe3ef974dafb12745fb836ef226" ma:index="34" nillable="true" ma:taxonomy="true" ma:internalName="bc97afe3ef974dafb12745fb836ef226" ma:taxonomyFieldName="FinFinancialPeriodMMF" ma:displayName="Financial Period" ma:fieldId="{bc97afe3-ef97-4daf-b127-45fb836ef226}" ma:sspId="2ea59c1a-6824-46e1-9abd-682959e453ea" ma:termSetId="c6cf2af1-f1ef-49ae-aef4-8c6c3a37cc24" ma:anchorId="00000000-0000-0000-0000-000000000000" ma:open="false" ma:isKeyword="false">
      <xsd:complexType>
        <xsd:sequence>
          <xsd:element ref="pc:Terms" minOccurs="0" maxOccurs="1"/>
        </xsd:sequence>
      </xsd:complexType>
    </xsd:element>
    <xsd:element name="FinBusinessLineAuto" ma:index="36" nillable="true" ma:displayName="Business Line*" ma:internalName="FinBusinessLineAuto">
      <xsd:simpleType>
        <xsd:restriction base="dms:Text"/>
      </xsd:simpleType>
    </xsd:element>
    <xsd:element name="FinVintageAuto" ma:index="37" nillable="true" ma:displayName="Vintage*" ma:internalName="FinVintageAuto">
      <xsd:simpleType>
        <xsd:restriction base="dms:Text"/>
      </xsd:simpleType>
    </xsd:element>
    <xsd:element name="FinEntityGuid" ma:index="38" nillable="true" ma:displayName="FinEntityGuid" ma:internalName="FinEntityGuid">
      <xsd:simpleType>
        <xsd:restriction base="dms:Text"/>
      </xsd:simpleType>
    </xsd:element>
    <xsd:element name="FinCompanyGuid" ma:index="39" nillable="true" ma:displayName="FinCompanyGuid" ma:internalName="FinCompanyGuid">
      <xsd:simpleType>
        <xsd:restriction base="dms:Text"/>
      </xsd:simpleType>
    </xsd:element>
    <xsd:element name="FinSystem3" ma:index="40" nillable="true" ma:displayName="System3" ma:internalName="FinSystem3">
      <xsd:simpleType>
        <xsd:restriction base="dms:Note"/>
      </xsd:simpleType>
    </xsd:element>
    <xsd:element name="FinSystem4" ma:index="41" nillable="true" ma:displayName="System4" ma:internalName="FinSystem4">
      <xsd:simpleType>
        <xsd:restriction base="dms:Note"/>
      </xsd:simpleType>
    </xsd:element>
    <xsd:element name="FinSystem5" ma:index="42" nillable="true" ma:displayName="System5" ma:internalName="FinSystem5">
      <xsd:simpleType>
        <xsd:restriction base="dms:Note"/>
      </xsd:simpleType>
    </xsd:element>
    <xsd:element name="FinSystemDate2" ma:index="43" nillable="true" ma:displayName="FinSystemDate2" ma:internalName="FinSystemDate2">
      <xsd:simpleType>
        <xsd:restriction base="dms:DateTime"/>
      </xsd:simpleType>
    </xsd:element>
    <xsd:element name="FinSystemDate3" ma:index="44" nillable="true" ma:displayName="FinSystemDate3" ma:internalName="FinSystemDate3">
      <xsd:simpleType>
        <xsd:restriction base="dms:DateTime"/>
      </xsd:simpleType>
    </xsd:element>
    <xsd:element name="FinDuplicateSuffix" ma:index="45" nillable="true" ma:displayName="DuplicateSuffix (System)" ma:internalName="FinDuplicateSuffix">
      <xsd:simpleType>
        <xsd:restriction base="dms:Text"/>
      </xsd:simpleType>
    </xsd:element>
    <xsd:element name="FinProvenance" ma:index="46" nillable="true" ma:displayName="Provenance (System)" ma:internalName="FinProvenance">
      <xsd:simpleType>
        <xsd:restriction base="dms:Note"/>
      </xsd:simpleType>
    </xsd:element>
    <xsd:element name="FinErrorLog" ma:index="47" nillable="true" ma:displayName="System Error Log" ma:internalName="FinErrorLog">
      <xsd:simpleType>
        <xsd:restriction base="dms:Note">
          <xsd:maxLength value="255"/>
        </xsd:restriction>
      </xsd:simpleType>
    </xsd:element>
    <xsd:element name="FinJurisdiction" ma:index="48" nillable="true" ma:displayName="Jurisdiction" ma:internalName="FinJurisdiction">
      <xsd:simpleType>
        <xsd:restriction base="dms:Choice">
          <xsd:enumeration value="France"/>
          <xsd:enumeration value="Germany"/>
          <xsd:enumeration value="Netherlands"/>
          <xsd:enumeration value="Luxembourg"/>
          <xsd:enumeration value="Denmark"/>
          <xsd:enumeration value="USA"/>
          <xsd:enumeration value="India"/>
          <xsd:enumeration value="Singapore"/>
          <xsd:enumeration value="Mauritius"/>
          <xsd:enumeration value="UK"/>
          <xsd:enumeration value="EU"/>
          <xsd:enumeration value="OECD"/>
          <xsd:enumeration value="Asia"/>
          <xsd:enumeration value="International"/>
          <xsd:enumeration value="Multi-jurisdictional"/>
        </xsd:restriction>
      </xsd:simpleType>
    </xsd:element>
    <xsd:element name="FinComplianceType" ma:index="49" nillable="true" ma:displayName="Compliance Type" ma:internalName="FinComplianceType">
      <xsd:simpleType>
        <xsd:restriction base="dms:Choice">
          <xsd:enumeration value="UK Corporate Tax"/>
          <xsd:enumeration value="UK Partnerships Tax"/>
          <xsd:enumeration value="UK Group Relief"/>
          <xsd:enumeration value="UK Group Payment Arrangement"/>
          <xsd:enumeration value="UK Quarterly CT Payments"/>
          <xsd:enumeration value="UK SAO"/>
          <xsd:enumeration value="UK Group Interest Restriction"/>
          <xsd:enumeration value="UK Diverted Profits Tax"/>
          <xsd:enumeration value="UK HMRC Risk Review"/>
          <xsd:enumeration value="UK PSA"/>
          <xsd:enumeration value="AEOI - FATCA / CRS Returns"/>
          <xsd:enumeration value="Country by Country Reporting"/>
          <xsd:enumeration value="Transfer Pricing"/>
          <xsd:enumeration value="Tax in Accounts"/>
          <xsd:enumeration value="Total Tax Contribution Survey"/>
        </xsd:restriction>
      </xsd:simpleType>
    </xsd:element>
    <xsd:element name="FinRegionAuto" ma:index="50" nillable="true" ma:displayName="Region*" ma:internalName="FinRegionAuto">
      <xsd:simpleType>
        <xsd:restriction base="dms:Text"/>
      </xsd:simpleType>
    </xsd:element>
    <xsd:element name="FinJurisdictionAuto" ma:index="51" nillable="true" ma:displayName="Jurisdiction*" ma:internalName="FinJurisdictionAuto">
      <xsd:simpleType>
        <xsd:restriction base="dms:Text"/>
      </xsd:simpleType>
    </xsd:element>
    <xsd:element name="FinComplianceTypeAuto" ma:index="52" nillable="true" ma:displayName="Compliance Type*" ma:internalName="FinComplianceTypeAuto">
      <xsd:simpleType>
        <xsd:restriction base="dms:Text"/>
      </xsd:simpleType>
    </xsd:element>
    <xsd:element name="FinRegion" ma:index="53" nillable="true" ma:displayName="Region" ma:internalName="FinRegion">
      <xsd:simpleType>
        <xsd:restriction base="dms:Choice">
          <xsd:enumeration value="UK"/>
          <xsd:enumeration value="Germany"/>
          <xsd:enumeration value="Luxembourg"/>
          <xsd:enumeration value="France"/>
          <xsd:enumeration value="Singapore"/>
          <xsd:enumeration value="Netherlands"/>
          <xsd:enumeration value="USA"/>
          <xsd:enumeration value="India"/>
          <xsd:enumeration value="Other Offices"/>
          <xsd:enumeration value="3iN"/>
          <xsd:enumeration value="Budget/SBP"/>
        </xsd:restriction>
      </xsd:simpleType>
    </xsd:element>
  </xsd:schema>
  <xsd:schema xmlns:xsd="http://www.w3.org/2001/XMLSchema" xmlns:xs="http://www.w3.org/2001/XMLSchema" xmlns:dms="http://schemas.microsoft.com/office/2006/documentManagement/types" xmlns:pc="http://schemas.microsoft.com/office/infopath/2007/PartnerControls" targetNamespace="b02309ee-1be0-4dde-9f87-82de285493e2"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ObjectDetectorVersions" ma:index="58" nillable="true" ma:displayName="MediaServiceObjectDetectorVersions"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DuplicateSuffix xmlns="cdec520e-ad3e-41ef-9e7f-e3efcc715ced" xsi:nil="true"/>
    <FinComplianceType xmlns="cdec520e-ad3e-41ef-9e7f-e3efcc715ced" xsi:nil="true"/>
    <FinCompanyAuto xmlns="cdec520e-ad3e-41ef-9e7f-e3efcc715ced" xsi:nil="true"/>
    <FinSystem5 xmlns="cdec520e-ad3e-41ef-9e7f-e3efcc715ced" xsi:nil="true"/>
    <FinSystemDate3 xmlns="cdec520e-ad3e-41ef-9e7f-e3efcc715ced" xsi:nil="true"/>
    <FinJurisdiction xmlns="cdec520e-ad3e-41ef-9e7f-e3efcc715ced" xsi:nil="true"/>
    <FinFinancialYearAuto xmlns="cdec520e-ad3e-41ef-9e7f-e3efcc715ced" xsi:nil="true"/>
    <FinComplianceTypeAuto xmlns="cdec520e-ad3e-41ef-9e7f-e3efcc715ced" xsi:nil="true"/>
    <FINMTFV xmlns="cdec520e-ad3e-41ef-9e7f-e3efcc715ced" xsi:nil="true"/>
    <FinFinancialPeriodAuto xmlns="cdec520e-ad3e-41ef-9e7f-e3efcc715ced" xsi:nil="true"/>
    <FinRegion xmlns="cdec520e-ad3e-41ef-9e7f-e3efcc715ced" xsi:nil="true"/>
    <FinDocumentTypeAuto xmlns="cdec520e-ad3e-41ef-9e7f-e3efcc715ced" xsi:nil="true"/>
    <ib4f18b89d8f447b9c6ee257b040ae19 xmlns="cdec520e-ad3e-41ef-9e7f-e3efcc715ced">
      <Terms xmlns="http://schemas.microsoft.com/office/infopath/2007/PartnerControls"/>
    </ib4f18b89d8f447b9c6ee257b040ae19>
    <FinEntityParentAuto xmlns="cdec520e-ad3e-41ef-9e7f-e3efcc715ced" xsi:nil="true"/>
    <FinEntityAuto xmlns="cdec520e-ad3e-41ef-9e7f-e3efcc715ced" xsi:nil="true"/>
    <FinSystem3 xmlns="cdec520e-ad3e-41ef-9e7f-e3efcc715ced" xsi:nil="true"/>
    <FinSystem4 xmlns="cdec520e-ad3e-41ef-9e7f-e3efcc715ced" xsi:nil="true"/>
    <FinSystemDate2 xmlns="cdec520e-ad3e-41ef-9e7f-e3efcc715ced" xsi:nil="true"/>
    <FinFinancialHalfYearAuto xmlns="cdec520e-ad3e-41ef-9e7f-e3efcc715ced" xsi:nil="true"/>
    <TaxCatchAll xmlns="cdec520e-ad3e-41ef-9e7f-e3efcc715ced" xsi:nil="true"/>
    <FinVintageAuto xmlns="cdec520e-ad3e-41ef-9e7f-e3efcc715ced" xsi:nil="true"/>
    <FinFinancialQuarterAuto xmlns="cdec520e-ad3e-41ef-9e7f-e3efcc715ced" xsi:nil="true"/>
    <k41d2ed85480493ca7e144c0a7bc49d8 xmlns="cdec520e-ad3e-41ef-9e7f-e3efcc715ced">
      <Terms xmlns="http://schemas.microsoft.com/office/infopath/2007/PartnerControls"/>
    </k41d2ed85480493ca7e144c0a7bc49d8>
    <FinErrorLog xmlns="cdec520e-ad3e-41ef-9e7f-e3efcc715ced" xsi:nil="true"/>
    <FinSystem2 xmlns="cdec520e-ad3e-41ef-9e7f-e3efcc715ced" xsi:nil="true"/>
    <FinBusinessLineAuto xmlns="cdec520e-ad3e-41ef-9e7f-e3efcc715ced" xsi:nil="true"/>
    <j8a49c1d3bd347868b42a595eea368e5 xmlns="cdec520e-ad3e-41ef-9e7f-e3efcc715ced">
      <Terms xmlns="http://schemas.microsoft.com/office/infopath/2007/PartnerControls"/>
    </j8a49c1d3bd347868b42a595eea368e5>
    <bc97afe3ef974dafb12745fb836ef226 xmlns="cdec520e-ad3e-41ef-9e7f-e3efcc715ced">
      <Terms xmlns="http://schemas.microsoft.com/office/infopath/2007/PartnerControls"/>
    </bc97afe3ef974dafb12745fb836ef226>
    <FinJurisdictionAuto xmlns="cdec520e-ad3e-41ef-9e7f-e3efcc715ced" xsi:nil="true"/>
    <FinSystemDate1 xmlns="cdec520e-ad3e-41ef-9e7f-e3efcc715ced" xsi:nil="true"/>
    <FinRegionAuto xmlns="cdec520e-ad3e-41ef-9e7f-e3efcc715ced" xsi:nil="true"/>
    <FinFolderAuto xmlns="cdec520e-ad3e-41ef-9e7f-e3efcc715ced" xsi:nil="true"/>
    <FinFinancialMonthAuto xmlns="cdec520e-ad3e-41ef-9e7f-e3efcc715ced" xsi:nil="true"/>
    <FinEntityGuid xmlns="cdec520e-ad3e-41ef-9e7f-e3efcc715ced" xsi:nil="true"/>
    <FinCompanyGuid xmlns="cdec520e-ad3e-41ef-9e7f-e3efcc715ced" xsi:nil="true"/>
    <FileDirRef xmlns="http://schemas.microsoft.com/sharepoint/v3" xsi:nil="true"/>
    <FinProvenance xmlns="cdec520e-ad3e-41ef-9e7f-e3efcc715ced" xsi:nil="true"/>
    <FinSystem1 xmlns="cdec520e-ad3e-41ef-9e7f-e3efcc715ced" xsi:nil="true"/>
    <FinEntityTypeAuto xmlns="cdec520e-ad3e-41ef-9e7f-e3efcc715c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EBA0-56AE-4BE4-ACD2-71D465E7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c520e-ad3e-41ef-9e7f-e3efcc715ced"/>
    <ds:schemaRef ds:uri="b02309ee-1be0-4dde-9f87-82de28549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3205A-0B21-4394-8E78-DBD3287D5C51}">
  <ds:schemaRefs>
    <ds:schemaRef ds:uri="http://schemas.microsoft.com/sharepoint/v3/contenttype/forms"/>
  </ds:schemaRefs>
</ds:datastoreItem>
</file>

<file path=customXml/itemProps3.xml><?xml version="1.0" encoding="utf-8"?>
<ds:datastoreItem xmlns:ds="http://schemas.openxmlformats.org/officeDocument/2006/customXml" ds:itemID="{FDDB47FC-542F-45B5-9EDC-89A88744F3CB}">
  <ds:schemaRefs>
    <ds:schemaRef ds:uri="http://schemas.microsoft.com/office/2006/metadata/properties"/>
    <ds:schemaRef ds:uri="http://schemas.microsoft.com/office/infopath/2007/PartnerControls"/>
    <ds:schemaRef ds:uri="cdec520e-ad3e-41ef-9e7f-e3efcc715ced"/>
    <ds:schemaRef ds:uri="http://schemas.microsoft.com/sharepoint/v3"/>
  </ds:schemaRefs>
</ds:datastoreItem>
</file>

<file path=customXml/itemProps4.xml><?xml version="1.0" encoding="utf-8"?>
<ds:datastoreItem xmlns:ds="http://schemas.openxmlformats.org/officeDocument/2006/customXml" ds:itemID="{3408DF8D-E73C-4599-A4F4-D509F9D1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Palkin</dc:creator>
  <cp:keywords/>
  <dc:description/>
  <cp:lastModifiedBy>Andrew Pearson</cp:lastModifiedBy>
  <cp:revision>29</cp:revision>
  <dcterms:created xsi:type="dcterms:W3CDTF">2024-04-29T14:29:00Z</dcterms:created>
  <dcterms:modified xsi:type="dcterms:W3CDTF">2026-04-27T13:10:00Z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0x010100BE7732C71DFF5C429B290AA391ADB41100B3F17FA08E689A4598E30570E100CB43</vt:lpwstr>
  </property>
  <property fmtid="{D5CDD505-2E9C-101B-9397-08002B2CF9AE}" pid="3" name="FinFinancialYearMMF">
    <vt:lpwstr/>
  </property>
  <property fmtid="{D5CDD505-2E9C-101B-9397-08002B2CF9AE}" pid="4" name="FinFinancialPeriodMMF">
    <vt:lpwstr/>
  </property>
  <property fmtid="{D5CDD505-2E9C-101B-9397-08002B2CF9AE}" pid="5" name="FinCompanyMMF">
    <vt:lpwstr/>
  </property>
  <property fmtid="{D5CDD505-2E9C-101B-9397-08002B2CF9AE}" pid="6" name="FinEntityMMF">
    <vt:lpwstr/>
  </property>
</Properties>
</file>